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Arial" w:cs="Arial" w:eastAsia="Arial" w:hAnsi="Arial"/>
          <w:b/>
          <w:bCs/>
          <w:color w:val="BF2E7A"/>
          <w:sz w:val="22"/>
          <w:szCs w:val="22"/>
        </w:rPr>
        <w:t xml:space="preserve">RISK MANAGEMENT COMPLIANCE PROGRAMME</w:t>
      </w:r>
    </w:p>
    <w:p>
      <w:pPr>
        <w:spacing w:after="60"/>
        <w:jc w:val="center"/>
      </w:pPr>
      <w:r>
        <w:rPr>
          <w:rFonts w:ascii="Arial" w:cs="Arial" w:eastAsia="Arial" w:hAnsi="Arial"/>
          <w:b/>
          <w:bCs/>
          <w:sz w:val="40"/>
          <w:szCs w:val="40"/>
        </w:rPr>
        <w:t xml:space="preserve">Appendix D — Transaction Monitoring Rules</w:t>
      </w:r>
    </w:p>
    <w:p>
      <w:pPr>
        <w:spacing w:after="60"/>
        <w:jc w:val="center"/>
      </w:pPr>
      <w:r>
        <w:rPr>
          <w:rFonts w:ascii="Arial" w:cs="Arial" w:eastAsia="Arial" w:hAnsi="Arial"/>
          <w:b/>
          <w:bCs/>
          <w:sz w:val="24"/>
          <w:szCs w:val="24"/>
        </w:rPr>
        <w:t xml:space="preserve">Flamingo Pay (Pty) Ltd</w:t>
      </w:r>
    </w:p>
    <w:p>
      <w:pPr>
        <w:spacing w:after="360"/>
        <w:jc w:val="center"/>
      </w:pPr>
      <w:r>
        <w:rPr>
          <w:rFonts w:ascii="Arial" w:cs="Arial" w:eastAsia="Arial" w:hAnsi="Arial"/>
          <w:color w:val="666666"/>
          <w:sz w:val="20"/>
          <w:szCs w:val="20"/>
        </w:rPr>
        <w:t xml:space="preserve">Effective 20 April 2026  ·  Version 1.0</w:t>
      </w:r>
    </w:p>
    <w:p>
      <w:pPr>
        <w:pStyle w:val="Heading1"/>
        <w:spacing w:after="180" w:before="360"/>
      </w:pPr>
      <w:r>
        <w:rPr>
          <w:rFonts w:ascii="Arial" w:cs="Arial" w:eastAsia="Arial" w:hAnsi="Arial"/>
          <w:b/>
          <w:bCs/>
          <w:sz w:val="32"/>
          <w:szCs w:val="32"/>
        </w:rPr>
        <w:t xml:space="preserve">D.0  Purpose</w:t>
      </w:r>
    </w:p>
    <w:p>
      <w:pPr>
        <w:spacing w:after="120"/>
        <w:jc w:val="left"/>
      </w:pPr>
      <w:r>
        <w:rPr>
          <w:rFonts w:ascii="Arial" w:cs="Arial" w:eastAsia="Arial" w:hAnsi="Arial"/>
          <w:sz w:val="22"/>
          <w:szCs w:val="22"/>
        </w:rPr>
        <w:t xml:space="preserve">This appendix defines the transaction monitoring rules implemented in the Flamingo Pay platform for the purposes of FICA s42 and FIC Directive 6 of 2023. It is issued as part of Flamingo Pay's Risk Management Compliance Programme (RMCP) and is authoritative for the parameters listed below. The corresponding live rule definitions are implemented in the platform source code at lib/store.ts → rulesForMerchant() and lib/business-profiles.ts.</w:t>
      </w:r>
    </w:p>
    <w:p>
      <w:pPr>
        <w:spacing w:after="120"/>
        <w:jc w:val="left"/>
      </w:pPr>
      <w:r>
        <w:rPr>
          <w:rFonts w:ascii="Arial" w:cs="Arial" w:eastAsia="Arial" w:hAnsi="Arial"/>
          <w:sz w:val="22"/>
          <w:szCs w:val="22"/>
        </w:rPr>
        <w:t xml:space="preserve">The rules listed in Appendix D below run on every transaction. The per-merchant-type parameters listed in Appendix D.1 are applied to each merchant based on the business type selected at onboarding. Any merchant whose business type is not explicitly listed uses the DEFAULT baseline.</w:t>
      </w:r>
    </w:p>
    <w:p>
      <w:pPr>
        <w:pStyle w:val="Heading1"/>
        <w:spacing w:after="180" w:before="360"/>
      </w:pPr>
      <w:r>
        <w:rPr>
          <w:rFonts w:ascii="Arial" w:cs="Arial" w:eastAsia="Arial" w:hAnsi="Arial"/>
          <w:b/>
          <w:bCs/>
          <w:sz w:val="32"/>
          <w:szCs w:val="32"/>
        </w:rPr>
        <w:t xml:space="preserve">D  Rules</w:t>
      </w:r>
    </w:p>
    <w:p>
      <w:pPr>
        <w:spacing w:after="120"/>
        <w:jc w:val="left"/>
      </w:pPr>
      <w:r>
        <w:rPr>
          <w:rFonts w:ascii="Arial" w:cs="Arial" w:eastAsia="Arial" w:hAnsi="Arial"/>
          <w:sz w:val="22"/>
          <w:szCs w:val="22"/>
        </w:rPr>
        <w:t xml:space="preserve">Each rule below is a deterministic check evaluated against every transaction. Rules TM-01, TM-02, TM-03, and TM-06 read their thresholds from the merchant's business-type profile (see Appendix D.1). Rule TM-05 (CTR threshold) is a fixed FICA statutory threshold and does not vary by merchant type.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200"/>
        <w:gridCol w:w="5760"/>
      </w:tblGrid>
      <w:tr>
        <w:trPr>
          <w:tblHeader/>
        </w:trPr>
        <w:tc>
          <w:tcPr>
            <w:tcW w:type="dxa" w:w="1400"/>
            <w:tcBorders>
              <w:top w:val="single" w:color="333333" w:sz="6"/>
              <w:left w:val="single" w:color="333333" w:sz="6"/>
              <w:bottom w:val="single" w:color="333333" w:sz="6"/>
              <w:right w:val="single" w:color="333333" w:sz="6"/>
            </w:tcBorders>
            <w:shd w:fill="F4E4B7" w:color="auto" w:val="clear"/>
            <w:tcMar>
              <w:top w:type="dxa" w:w="80"/>
              <w:left w:type="dxa" w:w="120"/>
              <w:bottom w:type="dxa" w:w="80"/>
              <w:right w:type="dxa" w:w="120"/>
            </w:tcMar>
          </w:tcPr>
          <w:p>
            <w:pPr>
              <w:jc w:val="left"/>
            </w:pPr>
            <w:r>
              <w:rPr>
                <w:rFonts w:ascii="Arial" w:cs="Arial" w:eastAsia="Arial" w:hAnsi="Arial"/>
                <w:b/>
                <w:bCs/>
                <w:sz w:val="20"/>
                <w:szCs w:val="20"/>
              </w:rPr>
              <w:t xml:space="preserve">Rule ID</w:t>
            </w:r>
          </w:p>
        </w:tc>
        <w:tc>
          <w:tcPr>
            <w:tcW w:type="dxa" w:w="2200"/>
            <w:tcBorders>
              <w:top w:val="single" w:color="333333" w:sz="6"/>
              <w:left w:val="single" w:color="333333" w:sz="6"/>
              <w:bottom w:val="single" w:color="333333" w:sz="6"/>
              <w:right w:val="single" w:color="333333" w:sz="6"/>
            </w:tcBorders>
            <w:shd w:fill="F4E4B7" w:color="auto" w:val="clear"/>
            <w:tcMar>
              <w:top w:type="dxa" w:w="80"/>
              <w:left w:type="dxa" w:w="120"/>
              <w:bottom w:type="dxa" w:w="80"/>
              <w:right w:type="dxa" w:w="120"/>
            </w:tcMar>
          </w:tcPr>
          <w:p>
            <w:pPr>
              <w:jc w:val="left"/>
            </w:pPr>
            <w:r>
              <w:rPr>
                <w:rFonts w:ascii="Arial" w:cs="Arial" w:eastAsia="Arial" w:hAnsi="Arial"/>
                <w:b/>
                <w:bCs/>
                <w:sz w:val="20"/>
                <w:szCs w:val="20"/>
              </w:rPr>
              <w:t xml:space="preserve">Name</w:t>
            </w:r>
          </w:p>
        </w:tc>
        <w:tc>
          <w:tcPr>
            <w:tcW w:type="dxa" w:w="5760"/>
            <w:tcBorders>
              <w:top w:val="single" w:color="333333" w:sz="6"/>
              <w:left w:val="single" w:color="333333" w:sz="6"/>
              <w:bottom w:val="single" w:color="333333" w:sz="6"/>
              <w:right w:val="single" w:color="333333" w:sz="6"/>
            </w:tcBorders>
            <w:shd w:fill="F4E4B7" w:color="auto" w:val="clear"/>
            <w:tcMar>
              <w:top w:type="dxa" w:w="80"/>
              <w:left w:type="dxa" w:w="120"/>
              <w:bottom w:type="dxa" w:w="80"/>
              <w:right w:type="dxa" w:w="120"/>
            </w:tcMar>
          </w:tcPr>
          <w:p>
            <w:pPr>
              <w:jc w:val="left"/>
            </w:pPr>
            <w:r>
              <w:rPr>
                <w:rFonts w:ascii="Arial" w:cs="Arial" w:eastAsia="Arial" w:hAnsi="Arial"/>
                <w:b/>
                <w:bCs/>
                <w:sz w:val="20"/>
                <w:szCs w:val="20"/>
              </w:rPr>
              <w:t xml:space="preserve">Trigger</w:t>
            </w:r>
          </w:p>
        </w:tc>
      </w:tr>
      <w:tr>
        <w:tc>
          <w:tcPr>
            <w:tcW w:type="dxa" w:w="14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TM-01</w:t>
            </w:r>
          </w:p>
        </w:tc>
        <w:tc>
          <w:tcPr>
            <w:tcW w:type="dxa" w:w="22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bCs/>
                <w:sz w:val="20"/>
                <w:szCs w:val="20"/>
              </w:rPr>
              <w:t xml:space="preserve">High amount</w:t>
            </w:r>
          </w:p>
        </w:tc>
        <w:tc>
          <w:tcPr>
            <w:tcW w:type="dxa" w:w="576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Single transaction at or above the merchant profile's highAmountThreshold (baseline R 5 000; R 3 000–R 10 000 by type).</w:t>
            </w:r>
          </w:p>
        </w:tc>
      </w:tr>
      <w:tr>
        <w:tc>
          <w:tcPr>
            <w:tcW w:type="dxa" w:w="14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TM-02</w:t>
            </w:r>
          </w:p>
        </w:tc>
        <w:tc>
          <w:tcPr>
            <w:tcW w:type="dxa" w:w="22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bCs/>
                <w:sz w:val="20"/>
                <w:szCs w:val="20"/>
              </w:rPr>
              <w:t xml:space="preserve">Velocity</w:t>
            </w:r>
          </w:p>
        </w:tc>
        <w:tc>
          <w:tcPr>
            <w:tcW w:type="dxa" w:w="576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More than the profile's velocityMax transactions in a 15-minute sliding window per merchant (baseline 20 txns; 15–60 by type).</w:t>
            </w:r>
          </w:p>
        </w:tc>
      </w:tr>
      <w:tr>
        <w:tc>
          <w:tcPr>
            <w:tcW w:type="dxa" w:w="14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TM-03</w:t>
            </w:r>
          </w:p>
        </w:tc>
        <w:tc>
          <w:tcPr>
            <w:tcW w:type="dxa" w:w="22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bCs/>
                <w:sz w:val="20"/>
                <w:szCs w:val="20"/>
              </w:rPr>
              <w:t xml:space="preserve">Anomaly</w:t>
            </w:r>
          </w:p>
        </w:tc>
        <w:tc>
          <w:tcPr>
            <w:tcW w:type="dxa" w:w="576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Single transaction greater than or equal to the profile's anomalyMultiplier times the merchant's rolling average (baseline 5×; 4–8× by type).</w:t>
            </w:r>
          </w:p>
        </w:tc>
      </w:tr>
      <w:tr>
        <w:tc>
          <w:tcPr>
            <w:tcW w:type="dxa" w:w="14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TM-04</w:t>
            </w:r>
          </w:p>
        </w:tc>
        <w:tc>
          <w:tcPr>
            <w:tcW w:type="dxa" w:w="22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bCs/>
                <w:sz w:val="20"/>
                <w:szCs w:val="20"/>
              </w:rPr>
              <w:t xml:space="preserve">Structuring</w:t>
            </w:r>
          </w:p>
        </w:tc>
        <w:tc>
          <w:tcPr>
            <w:tcW w:type="dxa" w:w="576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Multiple transactions individually just below R 24 999,99 (CTR threshold) within 24 hours. Detected by the STR pattern engine and queued for compliance review.</w:t>
            </w:r>
          </w:p>
        </w:tc>
      </w:tr>
      <w:tr>
        <w:tc>
          <w:tcPr>
            <w:tcW w:type="dxa" w:w="14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TM-05</w:t>
            </w:r>
          </w:p>
        </w:tc>
        <w:tc>
          <w:tcPr>
            <w:tcW w:type="dxa" w:w="22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bCs/>
                <w:sz w:val="20"/>
                <w:szCs w:val="20"/>
              </w:rPr>
              <w:t xml:space="preserve">CTR threshold</w:t>
            </w:r>
          </w:p>
        </w:tc>
        <w:tc>
          <w:tcPr>
            <w:tcW w:type="dxa" w:w="576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Single transaction at or above R 24 999,99 — automatically generates a Cash Threshold Report for FIC filing (FICA s28).</w:t>
            </w:r>
          </w:p>
        </w:tc>
      </w:tr>
      <w:tr>
        <w:tc>
          <w:tcPr>
            <w:tcW w:type="dxa" w:w="14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TM-06</w:t>
            </w:r>
          </w:p>
        </w:tc>
        <w:tc>
          <w:tcPr>
            <w:tcW w:type="dxa" w:w="22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bCs/>
                <w:sz w:val="20"/>
                <w:szCs w:val="20"/>
              </w:rPr>
              <w:t xml:space="preserve">Unusual hours</w:t>
            </w:r>
          </w:p>
        </w:tc>
        <w:tc>
          <w:tcPr>
            <w:tcW w:type="dxa" w:w="576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Transaction timestamp falls within the profile's off-hours window (baseline 23:00–05:00; start hour 21–23, end hour 03–06 by type).</w:t>
            </w:r>
          </w:p>
        </w:tc>
      </w:tr>
      <w:tr>
        <w:tc>
          <w:tcPr>
            <w:tcW w:type="dxa" w:w="14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TM-07</w:t>
            </w:r>
          </w:p>
        </w:tc>
        <w:tc>
          <w:tcPr>
            <w:tcW w:type="dxa" w:w="22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bCs/>
                <w:sz w:val="20"/>
                <w:szCs w:val="20"/>
              </w:rPr>
              <w:t xml:space="preserve">Manual</w:t>
            </w:r>
          </w:p>
        </w:tc>
        <w:tc>
          <w:tcPr>
            <w:tcW w:type="dxa" w:w="576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Compliance Officer manually flags any transaction for review.</w:t>
            </w:r>
          </w:p>
        </w:tc>
      </w:tr>
    </w:tbl>
    <w:p>
      <w:pPr>
        <w:pStyle w:val="Heading1"/>
        <w:spacing w:after="180" w:before="360"/>
      </w:pPr>
      <w:r>
        <w:rPr>
          <w:rFonts w:ascii="Arial" w:cs="Arial" w:eastAsia="Arial" w:hAnsi="Arial"/>
          <w:b/>
          <w:bCs/>
          <w:sz w:val="32"/>
          <w:szCs w:val="32"/>
        </w:rPr>
        <w:t xml:space="preserve">D.1  Per-merchant-type profiles</w:t>
      </w:r>
    </w:p>
    <w:p>
      <w:pPr>
        <w:spacing w:after="120"/>
        <w:jc w:val="left"/>
      </w:pPr>
      <w:r>
        <w:rPr>
          <w:rFonts w:ascii="Arial" w:cs="Arial" w:eastAsia="Arial" w:hAnsi="Arial"/>
          <w:sz w:val="22"/>
          <w:szCs w:val="22"/>
        </w:rPr>
        <w:t xml:space="preserve">Flamingo Pay's merchant base ranges from taxi-rank spazas with dozens of small transactions per hour to professional service providers with one large invoice per week. A single global threshold would either miss fraud and structuring at the low-volume end of the range, or drown the compliance queue in false positives at the high-volume end. The following profile table records the parameters applied to each merchant type.</w:t>
      </w:r>
    </w:p>
    <w:p>
      <w:pPr>
        <w:spacing w:after="120"/>
        <w:jc w:val="left"/>
      </w:pPr>
      <w:r>
        <w:rPr>
          <w:rFonts w:ascii="Arial" w:cs="Arial" w:eastAsia="Arial" w:hAnsi="Arial"/>
          <w:sz w:val="22"/>
          <w:szCs w:val="22"/>
        </w:rPr>
        <w:t xml:space="preserve">Merchants whose selected business type does not match any row below are assigned the DEFAULT baseline (last row).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600"/>
        <w:gridCol w:w="1800"/>
        <w:gridCol w:w="1800"/>
        <w:gridCol w:w="1360"/>
      </w:tblGrid>
      <w:tr>
        <w:trPr>
          <w:tblHeader/>
        </w:trPr>
        <w:tc>
          <w:tcPr>
            <w:tcW w:type="dxa" w:w="2800"/>
            <w:tcBorders>
              <w:top w:val="single" w:color="333333" w:sz="6"/>
              <w:left w:val="single" w:color="333333" w:sz="6"/>
              <w:bottom w:val="single" w:color="333333" w:sz="6"/>
              <w:right w:val="single" w:color="333333" w:sz="6"/>
            </w:tcBorders>
            <w:shd w:fill="F4E4B7" w:color="auto" w:val="clear"/>
            <w:tcMar>
              <w:top w:type="dxa" w:w="80"/>
              <w:left w:type="dxa" w:w="120"/>
              <w:bottom w:type="dxa" w:w="80"/>
              <w:right w:type="dxa" w:w="120"/>
            </w:tcMar>
          </w:tcPr>
          <w:p>
            <w:pPr>
              <w:jc w:val="left"/>
            </w:pPr>
            <w:r>
              <w:rPr>
                <w:rFonts w:ascii="Arial" w:cs="Arial" w:eastAsia="Arial" w:hAnsi="Arial"/>
                <w:b/>
                <w:bCs/>
                <w:sz w:val="20"/>
                <w:szCs w:val="20"/>
              </w:rPr>
              <w:t xml:space="preserve">Business type</w:t>
            </w:r>
          </w:p>
        </w:tc>
        <w:tc>
          <w:tcPr>
            <w:tcW w:type="dxa" w:w="1600"/>
            <w:tcBorders>
              <w:top w:val="single" w:color="333333" w:sz="6"/>
              <w:left w:val="single" w:color="333333" w:sz="6"/>
              <w:bottom w:val="single" w:color="333333" w:sz="6"/>
              <w:right w:val="single" w:color="333333" w:sz="6"/>
            </w:tcBorders>
            <w:shd w:fill="F4E4B7" w:color="auto" w:val="clear"/>
            <w:tcMar>
              <w:top w:type="dxa" w:w="80"/>
              <w:left w:type="dxa" w:w="120"/>
              <w:bottom w:type="dxa" w:w="80"/>
              <w:right w:type="dxa" w:w="120"/>
            </w:tcMar>
          </w:tcPr>
          <w:p>
            <w:pPr>
              <w:jc w:val="left"/>
            </w:pPr>
            <w:r>
              <w:rPr>
                <w:rFonts w:ascii="Arial" w:cs="Arial" w:eastAsia="Arial" w:hAnsi="Arial"/>
                <w:b/>
                <w:bCs/>
                <w:sz w:val="20"/>
                <w:szCs w:val="20"/>
              </w:rPr>
              <w:t xml:space="preserve">High amount</w:t>
            </w:r>
          </w:p>
        </w:tc>
        <w:tc>
          <w:tcPr>
            <w:tcW w:type="dxa" w:w="1800"/>
            <w:tcBorders>
              <w:top w:val="single" w:color="333333" w:sz="6"/>
              <w:left w:val="single" w:color="333333" w:sz="6"/>
              <w:bottom w:val="single" w:color="333333" w:sz="6"/>
              <w:right w:val="single" w:color="333333" w:sz="6"/>
            </w:tcBorders>
            <w:shd w:fill="F4E4B7" w:color="auto" w:val="clear"/>
            <w:tcMar>
              <w:top w:type="dxa" w:w="80"/>
              <w:left w:type="dxa" w:w="120"/>
              <w:bottom w:type="dxa" w:w="80"/>
              <w:right w:type="dxa" w:w="120"/>
            </w:tcMar>
          </w:tcPr>
          <w:p>
            <w:pPr>
              <w:jc w:val="left"/>
            </w:pPr>
            <w:r>
              <w:rPr>
                <w:rFonts w:ascii="Arial" w:cs="Arial" w:eastAsia="Arial" w:hAnsi="Arial"/>
                <w:b/>
                <w:bCs/>
                <w:sz w:val="20"/>
                <w:szCs w:val="20"/>
              </w:rPr>
              <w:t xml:space="preserve">Velocity</w:t>
            </w:r>
          </w:p>
        </w:tc>
        <w:tc>
          <w:tcPr>
            <w:tcW w:type="dxa" w:w="1800"/>
            <w:tcBorders>
              <w:top w:val="single" w:color="333333" w:sz="6"/>
              <w:left w:val="single" w:color="333333" w:sz="6"/>
              <w:bottom w:val="single" w:color="333333" w:sz="6"/>
              <w:right w:val="single" w:color="333333" w:sz="6"/>
            </w:tcBorders>
            <w:shd w:fill="F4E4B7" w:color="auto" w:val="clear"/>
            <w:tcMar>
              <w:top w:type="dxa" w:w="80"/>
              <w:left w:type="dxa" w:w="120"/>
              <w:bottom w:type="dxa" w:w="80"/>
              <w:right w:type="dxa" w:w="120"/>
            </w:tcMar>
          </w:tcPr>
          <w:p>
            <w:pPr>
              <w:jc w:val="left"/>
            </w:pPr>
            <w:r>
              <w:rPr>
                <w:rFonts w:ascii="Arial" w:cs="Arial" w:eastAsia="Arial" w:hAnsi="Arial"/>
                <w:b/>
                <w:bCs/>
                <w:sz w:val="20"/>
                <w:szCs w:val="20"/>
              </w:rPr>
              <w:t xml:space="preserve">Unusual hours</w:t>
            </w:r>
          </w:p>
        </w:tc>
        <w:tc>
          <w:tcPr>
            <w:tcW w:type="dxa" w:w="1360"/>
            <w:tcBorders>
              <w:top w:val="single" w:color="333333" w:sz="6"/>
              <w:left w:val="single" w:color="333333" w:sz="6"/>
              <w:bottom w:val="single" w:color="333333" w:sz="6"/>
              <w:right w:val="single" w:color="333333" w:sz="6"/>
            </w:tcBorders>
            <w:shd w:fill="F4E4B7" w:color="auto" w:val="clear"/>
            <w:tcMar>
              <w:top w:type="dxa" w:w="80"/>
              <w:left w:type="dxa" w:w="120"/>
              <w:bottom w:type="dxa" w:w="80"/>
              <w:right w:type="dxa" w:w="120"/>
            </w:tcMar>
          </w:tcPr>
          <w:p>
            <w:pPr>
              <w:jc w:val="left"/>
            </w:pPr>
            <w:r>
              <w:rPr>
                <w:rFonts w:ascii="Arial" w:cs="Arial" w:eastAsia="Arial" w:hAnsi="Arial"/>
                <w:b/>
                <w:bCs/>
                <w:sz w:val="20"/>
                <w:szCs w:val="20"/>
              </w:rPr>
              <w:t xml:space="preserve">Anomaly ×</w:t>
            </w:r>
          </w:p>
        </w:tc>
      </w:tr>
      <w:tr>
        <w:tc>
          <w:tcPr>
            <w:tcW w:type="dxa" w:w="28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bCs/>
                <w:sz w:val="20"/>
                <w:szCs w:val="20"/>
              </w:rPr>
              <w:t xml:space="preserve">Spaza / General Dealer</w:t>
            </w:r>
          </w:p>
        </w:tc>
        <w:tc>
          <w:tcPr>
            <w:tcW w:type="dxa" w:w="16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R 5 000</w:t>
            </w:r>
          </w:p>
        </w:tc>
        <w:tc>
          <w:tcPr>
            <w:tcW w:type="dxa" w:w="18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60 / 15 min</w:t>
            </w:r>
          </w:p>
        </w:tc>
        <w:tc>
          <w:tcPr>
            <w:tcW w:type="dxa" w:w="18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00:00–04:00</w:t>
            </w:r>
          </w:p>
        </w:tc>
        <w:tc>
          <w:tcPr>
            <w:tcW w:type="dxa" w:w="136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8×</w:t>
            </w:r>
          </w:p>
        </w:tc>
      </w:tr>
      <w:tr>
        <w:tc>
          <w:tcPr>
            <w:tcW w:type="dxa" w:w="28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bCs/>
                <w:sz w:val="20"/>
                <w:szCs w:val="20"/>
              </w:rPr>
              <w:t xml:space="preserve">Tuckshop</w:t>
            </w:r>
          </w:p>
        </w:tc>
        <w:tc>
          <w:tcPr>
            <w:tcW w:type="dxa" w:w="16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R 3 000</w:t>
            </w:r>
          </w:p>
        </w:tc>
        <w:tc>
          <w:tcPr>
            <w:tcW w:type="dxa" w:w="18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50 / 15 min</w:t>
            </w:r>
          </w:p>
        </w:tc>
        <w:tc>
          <w:tcPr>
            <w:tcW w:type="dxa" w:w="18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00:00–04:00</w:t>
            </w:r>
          </w:p>
        </w:tc>
        <w:tc>
          <w:tcPr>
            <w:tcW w:type="dxa" w:w="136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8×</w:t>
            </w:r>
          </w:p>
        </w:tc>
      </w:tr>
      <w:tr>
        <w:tc>
          <w:tcPr>
            <w:tcW w:type="dxa" w:w="28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bCs/>
                <w:sz w:val="20"/>
                <w:szCs w:val="20"/>
              </w:rPr>
              <w:t xml:space="preserve">Street vendor</w:t>
            </w:r>
          </w:p>
        </w:tc>
        <w:tc>
          <w:tcPr>
            <w:tcW w:type="dxa" w:w="16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R 3 000</w:t>
            </w:r>
          </w:p>
        </w:tc>
        <w:tc>
          <w:tcPr>
            <w:tcW w:type="dxa" w:w="18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50 / 15 min</w:t>
            </w:r>
          </w:p>
        </w:tc>
        <w:tc>
          <w:tcPr>
            <w:tcW w:type="dxa" w:w="18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23:00–04:00</w:t>
            </w:r>
          </w:p>
        </w:tc>
        <w:tc>
          <w:tcPr>
            <w:tcW w:type="dxa" w:w="136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8×</w:t>
            </w:r>
          </w:p>
        </w:tc>
      </w:tr>
      <w:tr>
        <w:tc>
          <w:tcPr>
            <w:tcW w:type="dxa" w:w="28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bCs/>
                <w:sz w:val="20"/>
                <w:szCs w:val="20"/>
              </w:rPr>
              <w:t xml:space="preserve">Fruit &amp; veg</w:t>
            </w:r>
          </w:p>
        </w:tc>
        <w:tc>
          <w:tcPr>
            <w:tcW w:type="dxa" w:w="16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R 5 000</w:t>
            </w:r>
          </w:p>
        </w:tc>
        <w:tc>
          <w:tcPr>
            <w:tcW w:type="dxa" w:w="18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40 / 15 min</w:t>
            </w:r>
          </w:p>
        </w:tc>
        <w:tc>
          <w:tcPr>
            <w:tcW w:type="dxa" w:w="18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23:00–03:00</w:t>
            </w:r>
          </w:p>
        </w:tc>
        <w:tc>
          <w:tcPr>
            <w:tcW w:type="dxa" w:w="136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6×</w:t>
            </w:r>
          </w:p>
        </w:tc>
      </w:tr>
      <w:tr>
        <w:tc>
          <w:tcPr>
            <w:tcW w:type="dxa" w:w="28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bCs/>
                <w:sz w:val="20"/>
                <w:szCs w:val="20"/>
              </w:rPr>
              <w:t xml:space="preserve">Butchery</w:t>
            </w:r>
          </w:p>
        </w:tc>
        <w:tc>
          <w:tcPr>
            <w:tcW w:type="dxa" w:w="16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R 8 000</w:t>
            </w:r>
          </w:p>
        </w:tc>
        <w:tc>
          <w:tcPr>
            <w:tcW w:type="dxa" w:w="18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25 / 15 min</w:t>
            </w:r>
          </w:p>
        </w:tc>
        <w:tc>
          <w:tcPr>
            <w:tcW w:type="dxa" w:w="18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22:00–05:00</w:t>
            </w:r>
          </w:p>
        </w:tc>
        <w:tc>
          <w:tcPr>
            <w:tcW w:type="dxa" w:w="136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5×</w:t>
            </w:r>
          </w:p>
        </w:tc>
      </w:tr>
      <w:tr>
        <w:tc>
          <w:tcPr>
            <w:tcW w:type="dxa" w:w="28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bCs/>
                <w:sz w:val="20"/>
                <w:szCs w:val="20"/>
              </w:rPr>
              <w:t xml:space="preserve">Takeaway / Food</w:t>
            </w:r>
          </w:p>
        </w:tc>
        <w:tc>
          <w:tcPr>
            <w:tcW w:type="dxa" w:w="16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R 5 000</w:t>
            </w:r>
          </w:p>
        </w:tc>
        <w:tc>
          <w:tcPr>
            <w:tcW w:type="dxa" w:w="18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35 / 15 min</w:t>
            </w:r>
          </w:p>
        </w:tc>
        <w:tc>
          <w:tcPr>
            <w:tcW w:type="dxa" w:w="18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00:00–04:00</w:t>
            </w:r>
          </w:p>
        </w:tc>
        <w:tc>
          <w:tcPr>
            <w:tcW w:type="dxa" w:w="136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5×</w:t>
            </w:r>
          </w:p>
        </w:tc>
      </w:tr>
      <w:tr>
        <w:tc>
          <w:tcPr>
            <w:tcW w:type="dxa" w:w="28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bCs/>
                <w:sz w:val="20"/>
                <w:szCs w:val="20"/>
              </w:rPr>
              <w:t xml:space="preserve">Hair salon / Barber</w:t>
            </w:r>
          </w:p>
        </w:tc>
        <w:tc>
          <w:tcPr>
            <w:tcW w:type="dxa" w:w="16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R 5 000</w:t>
            </w:r>
          </w:p>
        </w:tc>
        <w:tc>
          <w:tcPr>
            <w:tcW w:type="dxa" w:w="18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15 / 15 min</w:t>
            </w:r>
          </w:p>
        </w:tc>
        <w:tc>
          <w:tcPr>
            <w:tcW w:type="dxa" w:w="18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22:00–06:00</w:t>
            </w:r>
          </w:p>
        </w:tc>
        <w:tc>
          <w:tcPr>
            <w:tcW w:type="dxa" w:w="136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4×</w:t>
            </w:r>
          </w:p>
        </w:tc>
      </w:tr>
      <w:tr>
        <w:tc>
          <w:tcPr>
            <w:tcW w:type="dxa" w:w="28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bCs/>
                <w:sz w:val="20"/>
                <w:szCs w:val="20"/>
              </w:rPr>
              <w:t xml:space="preserve">Car wash</w:t>
            </w:r>
          </w:p>
        </w:tc>
        <w:tc>
          <w:tcPr>
            <w:tcW w:type="dxa" w:w="16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R 3 000</w:t>
            </w:r>
          </w:p>
        </w:tc>
        <w:tc>
          <w:tcPr>
            <w:tcW w:type="dxa" w:w="18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20 / 15 min</w:t>
            </w:r>
          </w:p>
        </w:tc>
        <w:tc>
          <w:tcPr>
            <w:tcW w:type="dxa" w:w="18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21:00–06:00</w:t>
            </w:r>
          </w:p>
        </w:tc>
        <w:tc>
          <w:tcPr>
            <w:tcW w:type="dxa" w:w="136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5×</w:t>
            </w:r>
          </w:p>
        </w:tc>
      </w:tr>
      <w:tr>
        <w:tc>
          <w:tcPr>
            <w:tcW w:type="dxa" w:w="28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bCs/>
                <w:sz w:val="20"/>
                <w:szCs w:val="20"/>
              </w:rPr>
              <w:t xml:space="preserve">Service provider</w:t>
            </w:r>
          </w:p>
        </w:tc>
        <w:tc>
          <w:tcPr>
            <w:tcW w:type="dxa" w:w="16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R 10 000</w:t>
            </w:r>
          </w:p>
        </w:tc>
        <w:tc>
          <w:tcPr>
            <w:tcW w:type="dxa" w:w="18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15 / 15 min</w:t>
            </w:r>
          </w:p>
        </w:tc>
        <w:tc>
          <w:tcPr>
            <w:tcW w:type="dxa" w:w="180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22:00–06:00</w:t>
            </w:r>
          </w:p>
        </w:tc>
        <w:tc>
          <w:tcPr>
            <w:tcW w:type="dxa" w:w="1360"/>
            <w:tcBorders>
              <w:top w:val="single" w:color="333333" w:sz="6"/>
              <w:left w:val="single" w:color="333333" w:sz="6"/>
              <w:bottom w:val="single" w:color="333333" w:sz="6"/>
              <w:right w:val="single" w:color="333333" w:sz="6"/>
            </w:tcBorders>
            <w:tcMar>
              <w:top w:type="dxa" w:w="80"/>
              <w:left w:type="dxa" w:w="120"/>
              <w:bottom w:type="dxa" w:w="80"/>
              <w:right w:type="dxa" w:w="120"/>
            </w:tcMar>
          </w:tcPr>
          <w:p>
            <w:pPr>
              <w:jc w:val="left"/>
            </w:pPr>
            <w:r>
              <w:rPr>
                <w:rFonts w:ascii="Arial" w:cs="Arial" w:eastAsia="Arial" w:hAnsi="Arial"/>
                <w:b w:val="false"/>
                <w:bCs w:val="false"/>
                <w:sz w:val="20"/>
                <w:szCs w:val="20"/>
              </w:rPr>
              <w:t xml:space="preserve">4×</w:t>
            </w:r>
          </w:p>
        </w:tc>
      </w:tr>
      <w:tr>
        <w:tc>
          <w:tcPr>
            <w:tcW w:type="dxa" w:w="2800"/>
            <w:tcBorders>
              <w:top w:val="single" w:color="333333" w:sz="6"/>
              <w:left w:val="single" w:color="333333" w:sz="6"/>
              <w:bottom w:val="single" w:color="333333" w:sz="6"/>
              <w:right w:val="single" w:color="333333" w:sz="6"/>
            </w:tcBorders>
            <w:shd w:fill="FCD5D0" w:color="auto" w:val="clear"/>
            <w:tcMar>
              <w:top w:type="dxa" w:w="80"/>
              <w:left w:type="dxa" w:w="120"/>
              <w:bottom w:type="dxa" w:w="80"/>
              <w:right w:type="dxa" w:w="120"/>
            </w:tcMar>
          </w:tcPr>
          <w:p>
            <w:pPr>
              <w:jc w:val="left"/>
            </w:pPr>
            <w:r>
              <w:rPr>
                <w:rFonts w:ascii="Arial" w:cs="Arial" w:eastAsia="Arial" w:hAnsi="Arial"/>
                <w:b/>
                <w:bCs/>
                <w:sz w:val="20"/>
                <w:szCs w:val="20"/>
              </w:rPr>
              <w:t xml:space="preserve">DEFAULT (Other / unrecognised)</w:t>
            </w:r>
          </w:p>
        </w:tc>
        <w:tc>
          <w:tcPr>
            <w:tcW w:type="dxa" w:w="1600"/>
            <w:tcBorders>
              <w:top w:val="single" w:color="333333" w:sz="6"/>
              <w:left w:val="single" w:color="333333" w:sz="6"/>
              <w:bottom w:val="single" w:color="333333" w:sz="6"/>
              <w:right w:val="single" w:color="333333" w:sz="6"/>
            </w:tcBorders>
            <w:shd w:fill="FCD5D0" w:color="auto" w:val="clear"/>
            <w:tcMar>
              <w:top w:type="dxa" w:w="80"/>
              <w:left w:type="dxa" w:w="120"/>
              <w:bottom w:type="dxa" w:w="80"/>
              <w:right w:type="dxa" w:w="120"/>
            </w:tcMar>
          </w:tcPr>
          <w:p>
            <w:pPr>
              <w:jc w:val="left"/>
            </w:pPr>
            <w:r>
              <w:rPr>
                <w:rFonts w:ascii="Arial" w:cs="Arial" w:eastAsia="Arial" w:hAnsi="Arial"/>
                <w:b/>
                <w:bCs/>
                <w:sz w:val="20"/>
                <w:szCs w:val="20"/>
              </w:rPr>
              <w:t xml:space="preserve">R 5 000</w:t>
            </w:r>
          </w:p>
        </w:tc>
        <w:tc>
          <w:tcPr>
            <w:tcW w:type="dxa" w:w="1800"/>
            <w:tcBorders>
              <w:top w:val="single" w:color="333333" w:sz="6"/>
              <w:left w:val="single" w:color="333333" w:sz="6"/>
              <w:bottom w:val="single" w:color="333333" w:sz="6"/>
              <w:right w:val="single" w:color="333333" w:sz="6"/>
            </w:tcBorders>
            <w:shd w:fill="FCD5D0" w:color="auto" w:val="clear"/>
            <w:tcMar>
              <w:top w:type="dxa" w:w="80"/>
              <w:left w:type="dxa" w:w="120"/>
              <w:bottom w:type="dxa" w:w="80"/>
              <w:right w:type="dxa" w:w="120"/>
            </w:tcMar>
          </w:tcPr>
          <w:p>
            <w:pPr>
              <w:jc w:val="left"/>
            </w:pPr>
            <w:r>
              <w:rPr>
                <w:rFonts w:ascii="Arial" w:cs="Arial" w:eastAsia="Arial" w:hAnsi="Arial"/>
                <w:b/>
                <w:bCs/>
                <w:sz w:val="20"/>
                <w:szCs w:val="20"/>
              </w:rPr>
              <w:t xml:space="preserve">20 / 15 min</w:t>
            </w:r>
          </w:p>
        </w:tc>
        <w:tc>
          <w:tcPr>
            <w:tcW w:type="dxa" w:w="1800"/>
            <w:tcBorders>
              <w:top w:val="single" w:color="333333" w:sz="6"/>
              <w:left w:val="single" w:color="333333" w:sz="6"/>
              <w:bottom w:val="single" w:color="333333" w:sz="6"/>
              <w:right w:val="single" w:color="333333" w:sz="6"/>
            </w:tcBorders>
            <w:shd w:fill="FCD5D0" w:color="auto" w:val="clear"/>
            <w:tcMar>
              <w:top w:type="dxa" w:w="80"/>
              <w:left w:type="dxa" w:w="120"/>
              <w:bottom w:type="dxa" w:w="80"/>
              <w:right w:type="dxa" w:w="120"/>
            </w:tcMar>
          </w:tcPr>
          <w:p>
            <w:pPr>
              <w:jc w:val="left"/>
            </w:pPr>
            <w:r>
              <w:rPr>
                <w:rFonts w:ascii="Arial" w:cs="Arial" w:eastAsia="Arial" w:hAnsi="Arial"/>
                <w:b/>
                <w:bCs/>
                <w:sz w:val="20"/>
                <w:szCs w:val="20"/>
              </w:rPr>
              <w:t xml:space="preserve">23:00–05:00</w:t>
            </w:r>
          </w:p>
        </w:tc>
        <w:tc>
          <w:tcPr>
            <w:tcW w:type="dxa" w:w="1360"/>
            <w:tcBorders>
              <w:top w:val="single" w:color="333333" w:sz="6"/>
              <w:left w:val="single" w:color="333333" w:sz="6"/>
              <w:bottom w:val="single" w:color="333333" w:sz="6"/>
              <w:right w:val="single" w:color="333333" w:sz="6"/>
            </w:tcBorders>
            <w:shd w:fill="FCD5D0" w:color="auto" w:val="clear"/>
            <w:tcMar>
              <w:top w:type="dxa" w:w="80"/>
              <w:left w:type="dxa" w:w="120"/>
              <w:bottom w:type="dxa" w:w="80"/>
              <w:right w:type="dxa" w:w="120"/>
            </w:tcMar>
          </w:tcPr>
          <w:p>
            <w:pPr>
              <w:jc w:val="left"/>
            </w:pPr>
            <w:r>
              <w:rPr>
                <w:rFonts w:ascii="Arial" w:cs="Arial" w:eastAsia="Arial" w:hAnsi="Arial"/>
                <w:b/>
                <w:bCs/>
                <w:sz w:val="20"/>
                <w:szCs w:val="20"/>
              </w:rPr>
              <w:t xml:space="preserve">5×</w:t>
            </w:r>
          </w:p>
        </w:tc>
      </w:tr>
    </w:tbl>
    <w:p>
      <w:pPr>
        <w:pStyle w:val="Heading1"/>
        <w:spacing w:after="180" w:before="360"/>
      </w:pPr>
      <w:r>
        <w:rPr>
          <w:rFonts w:ascii="Arial" w:cs="Arial" w:eastAsia="Arial" w:hAnsi="Arial"/>
          <w:b/>
          <w:bCs/>
          <w:sz w:val="32"/>
          <w:szCs w:val="32"/>
        </w:rPr>
        <w:t xml:space="preserve">D.2  Change control</w:t>
      </w:r>
    </w:p>
    <w:p>
      <w:pPr>
        <w:spacing w:after="120"/>
        <w:jc w:val="left"/>
      </w:pPr>
      <w:r>
        <w:rPr>
          <w:rFonts w:ascii="Arial" w:cs="Arial" w:eastAsia="Arial" w:hAnsi="Arial"/>
          <w:sz w:val="22"/>
          <w:szCs w:val="22"/>
        </w:rPr>
        <w:t xml:space="preserve">Any change to a rule threshold or a profile parameter must be approved by the Compliance Officer and, where the change materially alters risk coverage, by the Board. Changes are reflected in lib/business-profiles.ts and are picked up automatically by the /legal/rmcp page on the next deploy, so the policy document and the live rules engine cannot drift.</w:t>
      </w:r>
    </w:p>
    <w:p>
      <w:pPr>
        <w:spacing w:after="120"/>
        <w:jc w:val="left"/>
      </w:pPr>
      <w:r>
        <w:rPr>
          <w:rFonts w:ascii="Arial" w:cs="Arial" w:eastAsia="Arial" w:hAnsi="Arial"/>
          <w:sz w:val="22"/>
          <w:szCs w:val="22"/>
        </w:rPr>
        <w:t xml:space="preserve">The version history of this appendix is maintained in the repository change log and in the internal policy register.</w:t>
      </w:r>
    </w:p>
    <w:p>
      <w:pPr>
        <w:pStyle w:val="Heading1"/>
        <w:spacing w:after="180" w:before="360"/>
      </w:pPr>
      <w:r>
        <w:rPr>
          <w:rFonts w:ascii="Arial" w:cs="Arial" w:eastAsia="Arial" w:hAnsi="Arial"/>
          <w:b/>
          <w:bCs/>
          <w:sz w:val="32"/>
          <w:szCs w:val="32"/>
        </w:rPr>
        <w:t xml:space="preserve">D.3  Review cycle</w:t>
      </w:r>
    </w:p>
    <w:p>
      <w:pPr>
        <w:spacing w:after="120"/>
        <w:jc w:val="left"/>
      </w:pPr>
      <w:r>
        <w:rPr>
          <w:rFonts w:ascii="Arial" w:cs="Arial" w:eastAsia="Arial" w:hAnsi="Arial"/>
          <w:sz w:val="22"/>
          <w:szCs w:val="22"/>
        </w:rPr>
        <w:t xml:space="preserve">This appendix is reviewed at least annually by the Compliance Officer. A review is also triggered by any of the following events: material change in Flamingo Pay's product or merchant profile; change in FICA, Directive 6, or FIC guidance; remediation order from the FIC or banking partner; or a false-positive / false-negative rate that moves outside the 10%–30% target band.</w:t>
      </w:r>
    </w:p>
    <w:p>
      <w:pPr>
        <w:pStyle w:val="Heading1"/>
        <w:spacing w:after="180" w:before="360"/>
      </w:pPr>
      <w:r>
        <w:rPr>
          <w:rFonts w:ascii="Arial" w:cs="Arial" w:eastAsia="Arial" w:hAnsi="Arial"/>
          <w:b/>
          <w:bCs/>
          <w:sz w:val="32"/>
          <w:szCs w:val="32"/>
        </w:rPr>
        <w:t xml:space="preserve">D.4  References</w:t>
      </w:r>
    </w:p>
    <w:p>
      <w:pPr>
        <w:spacing w:after="120"/>
        <w:jc w:val="left"/>
      </w:pPr>
      <w:r>
        <w:rPr>
          <w:rFonts w:ascii="Arial" w:cs="Arial" w:eastAsia="Arial" w:hAnsi="Arial"/>
          <w:sz w:val="22"/>
          <w:szCs w:val="22"/>
        </w:rPr>
        <w:t xml:space="preserve">Related policy sections, reports, and code locations:</w:t>
      </w:r>
    </w:p>
    <w:p>
      <w:pPr>
        <w:pStyle w:val="ListParagraph"/>
        <w:numPr>
          <w:ilvl w:val="0"/>
          <w:numId w:val="2"/>
        </w:numPr>
      </w:pPr>
      <w:r>
        <w:rPr>
          <w:rFonts w:ascii="Arial" w:cs="Arial" w:eastAsia="Arial" w:hAnsi="Arial"/>
          <w:sz w:val="22"/>
          <w:szCs w:val="22"/>
        </w:rPr>
        <w:t xml:space="preserve">RMCP core: https://flamingopay.co.za/legal/rmcp</w:t>
      </w:r>
    </w:p>
    <w:p>
      <w:pPr>
        <w:pStyle w:val="ListParagraph"/>
        <w:numPr>
          <w:ilvl w:val="0"/>
          <w:numId w:val="2"/>
        </w:numPr>
      </w:pPr>
      <w:r>
        <w:rPr>
          <w:rFonts w:ascii="Arial" w:cs="Arial" w:eastAsia="Arial" w:hAnsi="Arial"/>
          <w:sz w:val="22"/>
          <w:szCs w:val="22"/>
        </w:rPr>
        <w:t xml:space="preserve">Rules engine: lib/store.ts → rulesForMerchant()</w:t>
      </w:r>
    </w:p>
    <w:p>
      <w:pPr>
        <w:pStyle w:val="ListParagraph"/>
        <w:numPr>
          <w:ilvl w:val="0"/>
          <w:numId w:val="2"/>
        </w:numPr>
      </w:pPr>
      <w:r>
        <w:rPr>
          <w:rFonts w:ascii="Arial" w:cs="Arial" w:eastAsia="Arial" w:hAnsi="Arial"/>
          <w:sz w:val="22"/>
          <w:szCs w:val="22"/>
        </w:rPr>
        <w:t xml:space="preserve">Per-type profiles: lib/business-profiles.ts</w:t>
      </w:r>
    </w:p>
    <w:p>
      <w:pPr>
        <w:pStyle w:val="ListParagraph"/>
        <w:numPr>
          <w:ilvl w:val="0"/>
          <w:numId w:val="2"/>
        </w:numPr>
      </w:pPr>
      <w:r>
        <w:rPr>
          <w:rFonts w:ascii="Arial" w:cs="Arial" w:eastAsia="Arial" w:hAnsi="Arial"/>
          <w:sz w:val="22"/>
          <w:szCs w:val="22"/>
        </w:rPr>
        <w:t xml:space="preserve">CTR / STR filing: lib/fica.ts, lib/goaml.ts</w:t>
      </w:r>
    </w:p>
    <w:p>
      <w:pPr>
        <w:pStyle w:val="ListParagraph"/>
        <w:numPr>
          <w:ilvl w:val="0"/>
          <w:numId w:val="2"/>
        </w:numPr>
      </w:pPr>
      <w:r>
        <w:rPr>
          <w:rFonts w:ascii="Arial" w:cs="Arial" w:eastAsia="Arial" w:hAnsi="Arial"/>
          <w:sz w:val="22"/>
          <w:szCs w:val="22"/>
        </w:rPr>
        <w:t xml:space="preserve">FICA s28 (CTR), s29 (STR), s42 (RMCP &amp; records)</w:t>
      </w:r>
    </w:p>
    <w:p>
      <w:pPr>
        <w:pStyle w:val="ListParagraph"/>
        <w:numPr>
          <w:ilvl w:val="0"/>
          <w:numId w:val="2"/>
        </w:numPr>
      </w:pPr>
      <w:r>
        <w:rPr>
          <w:rFonts w:ascii="Arial" w:cs="Arial" w:eastAsia="Arial" w:hAnsi="Arial"/>
          <w:sz w:val="22"/>
          <w:szCs w:val="22"/>
        </w:rPr>
        <w:t xml:space="preserve">FIC Directive 6 of 2023</w:t>
      </w:r>
    </w:p>
    <w:p>
      <w:pPr>
        <w:spacing w:before="720"/>
      </w:pPr>
      <w:r>
        <w:t xml:space="preserve"/>
      </w:r>
    </w:p>
    <w:p>
      <w:pPr>
        <w:spacing w:before="240"/>
        <w:jc w:val="left"/>
      </w:pPr>
      <w:r>
        <w:rPr>
          <w:rFonts w:ascii="Arial" w:cs="Arial" w:eastAsia="Arial" w:hAnsi="Arial"/>
          <w:b/>
          <w:bCs/>
          <w:sz w:val="22"/>
          <w:szCs w:val="22"/>
        </w:rPr>
        <w:t xml:space="preserve">Approved by:</w:t>
      </w:r>
    </w:p>
    <w:p>
      <w:pPr>
        <w:spacing w:after="120"/>
        <w:jc w:val="left"/>
      </w:pPr>
      <w:r>
        <w:rPr>
          <w:rFonts w:ascii="Arial" w:cs="Arial" w:eastAsia="Arial" w:hAnsi="Arial"/>
          <w:sz w:val="22"/>
          <w:szCs w:val="22"/>
        </w:rPr>
        <w:t xml:space="preserve">Managing Director / Accountable Officer — Flamingo Pay (Pty) Ltd</w:t>
      </w:r>
    </w:p>
    <w:p>
      <w:pPr>
        <w:spacing w:before="240"/>
      </w:pPr>
      <w:r>
        <w:rPr>
          <w:rFonts w:ascii="Arial" w:cs="Arial" w:eastAsia="Arial" w:hAnsi="Arial"/>
          <w:sz w:val="22"/>
          <w:szCs w:val="22"/>
        </w:rPr>
        <w:t xml:space="preserve">Signature: ______________________________   Date: ____________</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66666"/>
        <w:sz w:val="16"/>
        <w:szCs w:val="16"/>
      </w:rPr>
      <w:t xml:space="preserve">Flamingo Pay (Pty) Ltd · Reg No: 2026/276925/07 · +27 63 947 7208 · compliance@flamingopay.co.za</w:t>
    </w:r>
  </w:p>
  <w:p>
    <w:pPr>
      <w:jc w:val="center"/>
    </w:pPr>
    <w:r>
      <w:rPr>
        <w:rFonts w:ascii="Arial" w:cs="Arial" w:eastAsia="Arial" w:hAnsi="Arial"/>
        <w:color w:val="666666"/>
        <w:sz w:val="16"/>
        <w:szCs w:val="16"/>
      </w:rPr>
      <w:t xml:space="preserve">Page </w:t>
    </w:r>
    <w:r>
      <w:rPr>
        <w:rFonts w:ascii="Arial" w:cs="Arial" w:eastAsia="Arial" w:hAnsi="Arial"/>
        <w:color w:val="666666"/>
        <w:sz w:val="16"/>
        <w:szCs w:val="16"/>
      </w:rPr>
      <w:fldChar w:fldCharType="begin"/>
      <w:instrText xml:space="preserve">PAGE</w:instrText>
      <w:fldChar w:fldCharType="separate"/>
      <w:fldChar w:fldCharType="end"/>
    </w:r>
    <w:r>
      <w:rPr>
        <w:rFonts w:ascii="Arial" w:cs="Arial" w:eastAsia="Arial" w:hAnsi="Arial"/>
        <w:color w:val="666666"/>
        <w:sz w:val="16"/>
        <w:szCs w:val="16"/>
      </w:rPr>
      <w:t xml:space="preserve"> of </w:t>
    </w:r>
    <w:r>
      <w:rPr>
        <w:rFonts w:ascii="Arial" w:cs="Arial" w:eastAsia="Arial" w:hAnsi="Arial"/>
        <w:color w:val="666666"/>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666666"/>
        <w:sz w:val="18"/>
        <w:szCs w:val="18"/>
      </w:rPr>
      <w:t xml:space="preserve">Flamingo Pay — RMCP Appendix 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sz w:val="32"/>
      <w:szCs w:val="32"/>
    </w:rPr>
  </w:style>
  <w:style w:type="paragraph" w:styleId="Heading2">
    <w:name w:val="Heading 2"/>
    <w:basedOn w:val="Normal"/>
    <w:next w:val="Normal"/>
    <w:qFormat/>
    <w:pPr>
      <w:spacing w:after="150" w:before="300"/>
      <w:outlineLvl w:val="1"/>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RMCP Appendix D — Transaction Monitoring Rules</dc:title>
  <dc:creator>Flamingo Pay (Pty) Ltd</dc:creator>
  <cp:lastModifiedBy>Un-named</cp:lastModifiedBy>
  <cp:revision>1</cp:revision>
  <dcterms:created xsi:type="dcterms:W3CDTF">2026-04-22T14:10:47.848Z</dcterms:created>
  <dcterms:modified xsi:type="dcterms:W3CDTF">2026-04-22T14:10:47.848Z</dcterms:modified>
</cp:coreProperties>
</file>

<file path=docProps/custom.xml><?xml version="1.0" encoding="utf-8"?>
<Properties xmlns="http://schemas.openxmlformats.org/officeDocument/2006/custom-properties" xmlns:vt="http://schemas.openxmlformats.org/officeDocument/2006/docPropsVTypes"/>
</file>