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120"/>
        <w:jc w:val="center"/>
      </w:pPr>
      <w:r>
        <w:rPr>
          <w:rFonts w:ascii="Arial" w:cs="Arial" w:eastAsia="Arial" w:hAnsi="Arial"/>
          <w:b/>
          <w:bCs/>
          <w:color w:val="E84C88"/>
          <w:sz w:val="40"/>
          <w:szCs w:val="40"/>
        </w:rPr>
        <w:t xml:space="preserve">FLAMINGO PAY (PTY) LTD</w:t>
      </w:r>
    </w:p>
    <w:p>
      <w:pPr>
        <w:spacing w:after="80"/>
        <w:jc w:val="center"/>
      </w:pPr>
      <w:r>
        <w:rPr>
          <w:rFonts w:ascii="Arial" w:cs="Arial" w:eastAsia="Arial" w:hAnsi="Arial"/>
          <w:color w:val="666666"/>
          <w:sz w:val="20"/>
          <w:szCs w:val="20"/>
        </w:rPr>
        <w:t xml:space="preserve">Registration Number: 2026/276925/07</w:t>
      </w:r>
    </w:p>
    <w:p>
      <w:pPr>
        <w:spacing w:before="600"/>
      </w:pPr>
    </w:p>
    <w:p>
      <w:pPr>
        <w:spacing w:after="200"/>
        <w:jc w:val="center"/>
      </w:pPr>
      <w:r>
        <w:rPr>
          <w:rFonts w:ascii="Arial" w:cs="Arial" w:eastAsia="Arial" w:hAnsi="Arial"/>
          <w:b/>
          <w:bCs/>
          <w:color w:val="1A1A2E"/>
          <w:sz w:val="36"/>
          <w:szCs w:val="36"/>
        </w:rPr>
        <w:t xml:space="preserve">DATA PROCESSING AGREEMENT</w:t>
      </w:r>
    </w:p>
    <w:p>
      <w:pPr>
        <w:spacing w:after="80"/>
        <w:jc w:val="center"/>
      </w:pPr>
      <w:r>
        <w:rPr>
          <w:rFonts w:ascii="Arial" w:cs="Arial" w:eastAsia="Arial" w:hAnsi="Arial"/>
          <w:i/>
          <w:iCs/>
          <w:color w:val="666666"/>
          <w:sz w:val="22"/>
          <w:szCs w:val="22"/>
        </w:rPr>
        <w:t xml:space="preserve">In terms of Section 21 of the Protection of Personal Information Act 4 of 2013</w:t>
      </w:r>
    </w:p>
    <w:p>
      <w:pPr>
        <w:spacing w:before="6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RESPONSIBLE PARTY</w:t>
            </w:r>
          </w:p>
        </w:tc>
        <w:tc>
          <w:tcPr>
            <w:tcW w:type="dxa" w:w="624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OPERATOR</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1A1A2E"/>
                <w:sz w:val="20"/>
                <w:szCs w:val="20"/>
              </w:rPr>
              <w:t xml:space="preserve">Flamingo Pay (Pty) Ltd</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[Operator Full Legal Name]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Reg No: 2026/276925/07</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Reg No: [______________]</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A1A2E"/>
                <w:sz w:val="20"/>
                <w:szCs w:val="20"/>
              </w:rPr>
              <w:t xml:space="preserve">A23 10th Ave, Edenburg, Rivonia, Sandton, 2091</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[Operator Address]</w:t>
            </w:r>
          </w:p>
        </w:tc>
      </w:tr>
    </w:tbl>
    <w:p>
      <w:pPr>
        <w:spacing w:before="400"/>
      </w:pPr>
    </w:p>
    <w:p>
      <w:pPr>
        <w:spacing w:after="160"/>
        <w:jc w:val="left"/>
      </w:pPr>
      <w:r>
        <w:rPr>
          <w:rFonts w:ascii="Arial" w:cs="Arial" w:eastAsia="Arial" w:hAnsi="Arial"/>
          <w:b/>
          <w:bCs/>
          <w:color w:val="1A1A2E"/>
          <w:sz w:val="22"/>
          <w:szCs w:val="22"/>
        </w:rPr>
        <w:t xml:space="preserve">Effective Date: [________________]</w:t>
      </w:r>
    </w:p>
    <w:p>
      <w:pPr>
        <w:spacing w:after="160"/>
        <w:jc w:val="left"/>
      </w:pPr>
      <w:r>
        <w:rPr>
          <w:rFonts w:ascii="Arial" w:cs="Arial" w:eastAsia="Arial" w:hAnsi="Arial"/>
          <w:b/>
          <w:bCs/>
          <w:color w:val="1A1A2E"/>
          <w:sz w:val="22"/>
          <w:szCs w:val="22"/>
        </w:rPr>
        <w:t xml:space="preserve">Agreement Reference: FP-DPA-[____]-[YYYY]</w:t>
      </w:r>
    </w:p>
    <w:p>
      <w:r>
        <w:br w:type="page"/>
      </w:r>
    </w:p>
    <w:p>
      <w:pPr>
        <w:pStyle w:val="Heading1"/>
        <w:spacing w:after="120" w:before="360"/>
      </w:pPr>
      <w:r>
        <w:rPr>
          <w:rFonts w:ascii="Arial" w:cs="Arial" w:eastAsia="Arial" w:hAnsi="Arial"/>
          <w:b/>
          <w:bCs/>
          <w:color w:val="1A1A2E"/>
          <w:sz w:val="32"/>
          <w:szCs w:val="32"/>
        </w:rPr>
        <w:t xml:space="preserve">Recitals</w:t>
      </w:r>
    </w:p>
    <w:p>
      <w:pPr>
        <w:spacing w:after="160"/>
      </w:pPr>
      <w:r>
        <w:rPr>
          <w:rFonts w:ascii="Arial" w:cs="Arial" w:eastAsia="Arial" w:hAnsi="Arial"/>
          <w:b/>
          <w:bCs/>
          <w:color w:val="1A1A2E"/>
          <w:sz w:val="22"/>
          <w:szCs w:val="22"/>
        </w:rPr>
        <w:t xml:space="preserve">WHEREAS </w:t>
      </w:r>
      <w:r>
        <w:rPr>
          <w:rFonts w:ascii="Arial" w:cs="Arial" w:eastAsia="Arial" w:hAnsi="Arial"/>
          <w:color w:val="1A1A2E"/>
          <w:sz w:val="22"/>
          <w:szCs w:val="22"/>
        </w:rPr>
        <w:t xml:space="preserve">the Responsible Party is a payment services provider operating a QR-based payment platform for South African merchants using PayShap through Ozow;</w:t>
      </w:r>
    </w:p>
    <w:p>
      <w:pPr>
        <w:spacing w:after="160"/>
      </w:pPr>
      <w:r>
        <w:rPr>
          <w:rFonts w:ascii="Arial" w:cs="Arial" w:eastAsia="Arial" w:hAnsi="Arial"/>
          <w:b/>
          <w:bCs/>
          <w:color w:val="1A1A2E"/>
          <w:sz w:val="22"/>
          <w:szCs w:val="22"/>
        </w:rPr>
        <w:t xml:space="preserve">AND WHEREAS </w:t>
      </w:r>
      <w:r>
        <w:rPr>
          <w:rFonts w:ascii="Arial" w:cs="Arial" w:eastAsia="Arial" w:hAnsi="Arial"/>
          <w:color w:val="1A1A2E"/>
          <w:sz w:val="22"/>
          <w:szCs w:val="22"/>
        </w:rPr>
        <w:t xml:space="preserve">the Operator provides services that require the processing of personal information on behalf of the Responsible Party;</w:t>
      </w:r>
    </w:p>
    <w:p>
      <w:pPr>
        <w:spacing w:after="160"/>
      </w:pPr>
      <w:r>
        <w:rPr>
          <w:rFonts w:ascii="Arial" w:cs="Arial" w:eastAsia="Arial" w:hAnsi="Arial"/>
          <w:b/>
          <w:bCs/>
          <w:color w:val="1A1A2E"/>
          <w:sz w:val="22"/>
          <w:szCs w:val="22"/>
        </w:rPr>
        <w:t xml:space="preserve">AND WHEREAS </w:t>
      </w:r>
      <w:r>
        <w:rPr>
          <w:rFonts w:ascii="Arial" w:cs="Arial" w:eastAsia="Arial" w:hAnsi="Arial"/>
          <w:color w:val="1A1A2E"/>
          <w:sz w:val="22"/>
          <w:szCs w:val="22"/>
        </w:rPr>
        <w:t xml:space="preserve">the Protection of Personal Information Act 4 of 2013 (“POPIA”) requires the Responsible Party to ensure that operators processing personal information on its behalf are bound by appropriate data processing agreements;</w:t>
      </w:r>
    </w:p>
    <w:p>
      <w:pPr>
        <w:spacing w:after="160"/>
      </w:pPr>
      <w:r>
        <w:rPr>
          <w:rFonts w:ascii="Arial" w:cs="Arial" w:eastAsia="Arial" w:hAnsi="Arial"/>
          <w:b/>
          <w:bCs/>
          <w:color w:val="1A1A2E"/>
          <w:sz w:val="22"/>
          <w:szCs w:val="22"/>
        </w:rPr>
        <w:t xml:space="preserve">NOW THEREFORE </w:t>
      </w:r>
      <w:r>
        <w:rPr>
          <w:rFonts w:ascii="Arial" w:cs="Arial" w:eastAsia="Arial" w:hAnsi="Arial"/>
          <w:color w:val="1A1A2E"/>
          <w:sz w:val="22"/>
          <w:szCs w:val="22"/>
        </w:rPr>
        <w:t xml:space="preserve">the parties agree as follows:</w:t>
      </w:r>
    </w:p>
    <w:p>
      <w:pPr>
        <w:pStyle w:val="Heading1"/>
        <w:spacing w:after="120" w:before="360"/>
      </w:pPr>
      <w:r>
        <w:rPr>
          <w:rFonts w:ascii="Arial" w:cs="Arial" w:eastAsia="Arial" w:hAnsi="Arial"/>
          <w:b/>
          <w:bCs/>
          <w:color w:val="1A1A2E"/>
          <w:sz w:val="32"/>
          <w:szCs w:val="32"/>
        </w:rPr>
        <w:t xml:space="preserve">1. Definitions and Interpretation</w:t>
      </w:r>
    </w:p>
    <w:p>
      <w:pPr>
        <w:spacing w:after="160"/>
        <w:jc w:val="left"/>
      </w:pPr>
      <w:r>
        <w:rPr>
          <w:rFonts w:ascii="Arial" w:cs="Arial" w:eastAsia="Arial" w:hAnsi="Arial"/>
          <w:color w:val="1A1A2E"/>
          <w:sz w:val="22"/>
          <w:szCs w:val="22"/>
        </w:rPr>
        <w:t xml:space="preserve">In this Agreement, unless the context indicates otherwise:</w:t>
      </w:r>
    </w:p>
    <w:p>
      <w:pPr>
        <w:pStyle w:val="ListParagraph"/>
        <w:numPr>
          <w:ilvl w:val="0"/>
          <w:numId w:val="2"/>
        </w:numPr>
        <w:spacing w:after="100"/>
      </w:pPr>
      <w:r>
        <w:rPr>
          <w:rFonts w:ascii="Arial" w:cs="Arial" w:eastAsia="Arial" w:hAnsi="Arial"/>
          <w:color w:val="1A1A2E"/>
          <w:sz w:val="22"/>
          <w:szCs w:val="22"/>
        </w:rPr>
        <w:t xml:space="preserve">“Data Subject” means the person to whom personal information relates, including merchants and their customers;</w:t>
      </w:r>
    </w:p>
    <w:p>
      <w:pPr>
        <w:pStyle w:val="ListParagraph"/>
        <w:numPr>
          <w:ilvl w:val="0"/>
          <w:numId w:val="2"/>
        </w:numPr>
        <w:spacing w:after="100"/>
      </w:pPr>
      <w:r>
        <w:rPr>
          <w:rFonts w:ascii="Arial" w:cs="Arial" w:eastAsia="Arial" w:hAnsi="Arial"/>
          <w:color w:val="1A1A2E"/>
          <w:sz w:val="22"/>
          <w:szCs w:val="22"/>
        </w:rPr>
        <w:t xml:space="preserve">“FICA” means the Financial Intelligence Centre Act 38 of 2001;</w:t>
      </w:r>
    </w:p>
    <w:p>
      <w:pPr>
        <w:pStyle w:val="ListParagraph"/>
        <w:numPr>
          <w:ilvl w:val="0"/>
          <w:numId w:val="2"/>
        </w:numPr>
        <w:spacing w:after="100"/>
      </w:pPr>
      <w:r>
        <w:rPr>
          <w:rFonts w:ascii="Arial" w:cs="Arial" w:eastAsia="Arial" w:hAnsi="Arial"/>
          <w:color w:val="1A1A2E"/>
          <w:sz w:val="22"/>
          <w:szCs w:val="22"/>
        </w:rPr>
        <w:t xml:space="preserve">“Information Regulator” means the Information Regulator established in terms of Section 39 of POPIA;</w:t>
      </w:r>
    </w:p>
    <w:p>
      <w:pPr>
        <w:pStyle w:val="ListParagraph"/>
        <w:numPr>
          <w:ilvl w:val="0"/>
          <w:numId w:val="2"/>
        </w:numPr>
        <w:spacing w:after="100"/>
      </w:pPr>
      <w:r>
        <w:rPr>
          <w:rFonts w:ascii="Arial" w:cs="Arial" w:eastAsia="Arial" w:hAnsi="Arial"/>
          <w:color w:val="1A1A2E"/>
          <w:sz w:val="22"/>
          <w:szCs w:val="22"/>
        </w:rPr>
        <w:t xml:space="preserve">“Operator” means the party processing personal information on behalf of the Responsible Party, as defined in POPIA Section 1;</w:t>
      </w:r>
    </w:p>
    <w:p>
      <w:pPr>
        <w:pStyle w:val="ListParagraph"/>
        <w:numPr>
          <w:ilvl w:val="0"/>
          <w:numId w:val="2"/>
        </w:numPr>
        <w:spacing w:after="100"/>
      </w:pPr>
      <w:r>
        <w:rPr>
          <w:rFonts w:ascii="Arial" w:cs="Arial" w:eastAsia="Arial" w:hAnsi="Arial"/>
          <w:color w:val="1A1A2E"/>
          <w:sz w:val="22"/>
          <w:szCs w:val="22"/>
        </w:rPr>
        <w:t xml:space="preserve">“Personal Information” has the meaning ascribed to it in POPIA Section 1;</w:t>
      </w:r>
    </w:p>
    <w:p>
      <w:pPr>
        <w:pStyle w:val="ListParagraph"/>
        <w:numPr>
          <w:ilvl w:val="0"/>
          <w:numId w:val="2"/>
        </w:numPr>
        <w:spacing w:after="100"/>
      </w:pPr>
      <w:r>
        <w:rPr>
          <w:rFonts w:ascii="Arial" w:cs="Arial" w:eastAsia="Arial" w:hAnsi="Arial"/>
          <w:color w:val="1A1A2E"/>
          <w:sz w:val="22"/>
          <w:szCs w:val="22"/>
        </w:rPr>
        <w:t xml:space="preserve">“POPIA” means the Protection of Personal Information Act 4 of 2013;</w:t>
      </w:r>
    </w:p>
    <w:p>
      <w:pPr>
        <w:pStyle w:val="ListParagraph"/>
        <w:numPr>
          <w:ilvl w:val="0"/>
          <w:numId w:val="2"/>
        </w:numPr>
        <w:spacing w:after="100"/>
      </w:pPr>
      <w:r>
        <w:rPr>
          <w:rFonts w:ascii="Arial" w:cs="Arial" w:eastAsia="Arial" w:hAnsi="Arial"/>
          <w:color w:val="1A1A2E"/>
          <w:sz w:val="22"/>
          <w:szCs w:val="22"/>
        </w:rPr>
        <w:t xml:space="preserve">“Processing” has the meaning ascribed to it in POPIA Section 1, including collection, receipt, recording, organisation, storage, updating, retrieval, consultation, use, dissemination, merging, restriction, degradation, erasure, or destruction of information;</w:t>
      </w:r>
    </w:p>
    <w:p>
      <w:pPr>
        <w:pStyle w:val="ListParagraph"/>
        <w:numPr>
          <w:ilvl w:val="0"/>
          <w:numId w:val="2"/>
        </w:numPr>
        <w:spacing w:after="100"/>
      </w:pPr>
      <w:r>
        <w:rPr>
          <w:rFonts w:ascii="Arial" w:cs="Arial" w:eastAsia="Arial" w:hAnsi="Arial"/>
          <w:color w:val="1A1A2E"/>
          <w:sz w:val="22"/>
          <w:szCs w:val="22"/>
        </w:rPr>
        <w:t xml:space="preserve">“Responsible Party” means Flamingo Pay (Pty) Ltd, as defined in POPIA Section 1;</w:t>
      </w:r>
    </w:p>
    <w:p>
      <w:pPr>
        <w:pStyle w:val="ListParagraph"/>
        <w:numPr>
          <w:ilvl w:val="0"/>
          <w:numId w:val="2"/>
        </w:numPr>
        <w:spacing w:after="100"/>
      </w:pPr>
      <w:r>
        <w:rPr>
          <w:rFonts w:ascii="Arial" w:cs="Arial" w:eastAsia="Arial" w:hAnsi="Arial"/>
          <w:color w:val="1A1A2E"/>
          <w:sz w:val="22"/>
          <w:szCs w:val="22"/>
        </w:rPr>
        <w:t xml:space="preserve">“Security Compromise” means any breach of security leading to the accidental or unlawful destruction, loss, alteration, unauthorised disclosure of, or access to, personal information;</w:t>
      </w:r>
    </w:p>
    <w:p>
      <w:pPr>
        <w:pStyle w:val="Heading1"/>
        <w:spacing w:after="120" w:before="360"/>
      </w:pPr>
      <w:r>
        <w:rPr>
          <w:rFonts w:ascii="Arial" w:cs="Arial" w:eastAsia="Arial" w:hAnsi="Arial"/>
          <w:b/>
          <w:bCs/>
          <w:color w:val="1A1A2E"/>
          <w:sz w:val="32"/>
          <w:szCs w:val="32"/>
        </w:rPr>
        <w:t xml:space="preserve">2. Scope of Processing</w:t>
      </w:r>
    </w:p>
    <w:p>
      <w:pPr>
        <w:pStyle w:val="ListParagraph"/>
        <w:numPr>
          <w:ilvl w:val="0"/>
          <w:numId w:val="2"/>
        </w:numPr>
        <w:spacing w:after="100"/>
      </w:pPr>
      <w:r>
        <w:rPr>
          <w:rFonts w:ascii="Arial" w:cs="Arial" w:eastAsia="Arial" w:hAnsi="Arial"/>
          <w:color w:val="1A1A2E"/>
          <w:sz w:val="22"/>
          <w:szCs w:val="22"/>
        </w:rPr>
        <w:t xml:space="preserve">The Operator shall process personal information only for the purposes and to the extent set out in Schedule A to this Agreement.</w:t>
      </w:r>
    </w:p>
    <w:p>
      <w:pPr>
        <w:pStyle w:val="ListParagraph"/>
        <w:numPr>
          <w:ilvl w:val="0"/>
          <w:numId w:val="2"/>
        </w:numPr>
        <w:spacing w:after="100"/>
      </w:pPr>
      <w:r>
        <w:rPr>
          <w:rFonts w:ascii="Arial" w:cs="Arial" w:eastAsia="Arial" w:hAnsi="Arial"/>
          <w:color w:val="1A1A2E"/>
          <w:sz w:val="22"/>
          <w:szCs w:val="22"/>
        </w:rPr>
        <w:t xml:space="preserve">The Operator shall not process personal information for any purpose other than as instructed by the Responsible Party in writing.</w:t>
      </w:r>
    </w:p>
    <w:p>
      <w:pPr>
        <w:pStyle w:val="ListParagraph"/>
        <w:numPr>
          <w:ilvl w:val="0"/>
          <w:numId w:val="2"/>
        </w:numPr>
        <w:spacing w:after="100"/>
      </w:pPr>
      <w:r>
        <w:rPr>
          <w:rFonts w:ascii="Arial" w:cs="Arial" w:eastAsia="Arial" w:hAnsi="Arial"/>
          <w:color w:val="1A1A2E"/>
          <w:sz w:val="22"/>
          <w:szCs w:val="22"/>
        </w:rPr>
        <w:t xml:space="preserve">The categories of data subjects and types of personal information subject to this Agreement are detailed in Schedule A.</w:t>
      </w:r>
    </w:p>
    <w:p>
      <w:pPr>
        <w:pStyle w:val="Heading1"/>
        <w:spacing w:after="120" w:before="360"/>
      </w:pPr>
      <w:r>
        <w:rPr>
          <w:rFonts w:ascii="Arial" w:cs="Arial" w:eastAsia="Arial" w:hAnsi="Arial"/>
          <w:b/>
          <w:bCs/>
          <w:color w:val="1A1A2E"/>
          <w:sz w:val="32"/>
          <w:szCs w:val="32"/>
        </w:rPr>
        <w:t xml:space="preserve">3. Obligations of the Operator</w:t>
      </w:r>
    </w:p>
    <w:p>
      <w:pPr>
        <w:spacing w:after="160"/>
        <w:jc w:val="left"/>
      </w:pPr>
      <w:r>
        <w:rPr>
          <w:rFonts w:ascii="Arial" w:cs="Arial" w:eastAsia="Arial" w:hAnsi="Arial"/>
          <w:color w:val="1A1A2E"/>
          <w:sz w:val="22"/>
          <w:szCs w:val="22"/>
        </w:rPr>
        <w:t xml:space="preserve">The Operator shall:</w:t>
      </w:r>
    </w:p>
    <w:p>
      <w:pPr>
        <w:pStyle w:val="ListParagraph"/>
        <w:numPr>
          <w:ilvl w:val="0"/>
          <w:numId w:val="2"/>
        </w:numPr>
        <w:spacing w:after="100"/>
      </w:pPr>
      <w:r>
        <w:rPr>
          <w:rFonts w:ascii="Arial" w:cs="Arial" w:eastAsia="Arial" w:hAnsi="Arial"/>
          <w:color w:val="1A1A2E"/>
          <w:sz w:val="22"/>
          <w:szCs w:val="22"/>
        </w:rPr>
        <w:t xml:space="preserve">Process personal information only with the knowledge or authorisation of the Responsible Party, in accordance with POPIA Section 21(1);</w:t>
      </w:r>
    </w:p>
    <w:p>
      <w:pPr>
        <w:pStyle w:val="ListParagraph"/>
        <w:numPr>
          <w:ilvl w:val="0"/>
          <w:numId w:val="2"/>
        </w:numPr>
        <w:spacing w:after="100"/>
      </w:pPr>
      <w:r>
        <w:rPr>
          <w:rFonts w:ascii="Arial" w:cs="Arial" w:eastAsia="Arial" w:hAnsi="Arial"/>
          <w:color w:val="1A1A2E"/>
          <w:sz w:val="22"/>
          <w:szCs w:val="22"/>
        </w:rPr>
        <w:t xml:space="preserve">Treat all personal information entrusted to it as confidential and ensure that persons authorised to process the personal information have committed themselves to confidentiality or are under an appropriate statutory obligation of confidentiality;</w:t>
      </w:r>
    </w:p>
    <w:p>
      <w:pPr>
        <w:pStyle w:val="ListParagraph"/>
        <w:numPr>
          <w:ilvl w:val="0"/>
          <w:numId w:val="2"/>
        </w:numPr>
        <w:spacing w:after="100"/>
      </w:pPr>
      <w:r>
        <w:rPr>
          <w:rFonts w:ascii="Arial" w:cs="Arial" w:eastAsia="Arial" w:hAnsi="Arial"/>
          <w:color w:val="1A1A2E"/>
          <w:sz w:val="22"/>
          <w:szCs w:val="22"/>
        </w:rPr>
        <w:t xml:space="preserve">Not disclose personal information to any third party unless required by law, court order, or with the prior written consent of the Responsible Party;</w:t>
      </w:r>
    </w:p>
    <w:p>
      <w:pPr>
        <w:pStyle w:val="ListParagraph"/>
        <w:numPr>
          <w:ilvl w:val="0"/>
          <w:numId w:val="2"/>
        </w:numPr>
        <w:spacing w:after="100"/>
      </w:pPr>
      <w:r>
        <w:rPr>
          <w:rFonts w:ascii="Arial" w:cs="Arial" w:eastAsia="Arial" w:hAnsi="Arial"/>
          <w:color w:val="1A1A2E"/>
          <w:sz w:val="22"/>
          <w:szCs w:val="22"/>
        </w:rPr>
        <w:t xml:space="preserve">Process personal information in compliance with all conditions for the lawful processing of personal information as set out in Chapter 3 of POPIA;</w:t>
      </w:r>
    </w:p>
    <w:p>
      <w:pPr>
        <w:pStyle w:val="ListParagraph"/>
        <w:numPr>
          <w:ilvl w:val="0"/>
          <w:numId w:val="2"/>
        </w:numPr>
        <w:spacing w:after="100"/>
      </w:pPr>
      <w:r>
        <w:rPr>
          <w:rFonts w:ascii="Arial" w:cs="Arial" w:eastAsia="Arial" w:hAnsi="Arial"/>
          <w:color w:val="1A1A2E"/>
          <w:sz w:val="22"/>
          <w:szCs w:val="22"/>
        </w:rPr>
        <w:t xml:space="preserve">Implement and maintain the security measures set out in Clause 5 of this Agreement;</w:t>
      </w:r>
    </w:p>
    <w:p>
      <w:pPr>
        <w:pStyle w:val="ListParagraph"/>
        <w:numPr>
          <w:ilvl w:val="0"/>
          <w:numId w:val="2"/>
        </w:numPr>
        <w:spacing w:after="100"/>
      </w:pPr>
      <w:r>
        <w:rPr>
          <w:rFonts w:ascii="Arial" w:cs="Arial" w:eastAsia="Arial" w:hAnsi="Arial"/>
          <w:color w:val="1A1A2E"/>
          <w:sz w:val="22"/>
          <w:szCs w:val="22"/>
        </w:rPr>
        <w:t xml:space="preserve">Notify the Responsible Party of any Security Compromise in accordance with Clause 6;</w:t>
      </w:r>
    </w:p>
    <w:p>
      <w:pPr>
        <w:pStyle w:val="ListParagraph"/>
        <w:numPr>
          <w:ilvl w:val="0"/>
          <w:numId w:val="2"/>
        </w:numPr>
        <w:spacing w:after="100"/>
      </w:pPr>
      <w:r>
        <w:rPr>
          <w:rFonts w:ascii="Arial" w:cs="Arial" w:eastAsia="Arial" w:hAnsi="Arial"/>
          <w:color w:val="1A1A2E"/>
          <w:sz w:val="22"/>
          <w:szCs w:val="22"/>
        </w:rPr>
        <w:t xml:space="preserve">Assist the Responsible Party in responding to requests from Data Subjects exercising their rights under POPIA Sections 23–25;</w:t>
      </w:r>
    </w:p>
    <w:p>
      <w:pPr>
        <w:pStyle w:val="ListParagraph"/>
        <w:numPr>
          <w:ilvl w:val="0"/>
          <w:numId w:val="2"/>
        </w:numPr>
        <w:spacing w:after="100"/>
      </w:pPr>
      <w:r>
        <w:rPr>
          <w:rFonts w:ascii="Arial" w:cs="Arial" w:eastAsia="Arial" w:hAnsi="Arial"/>
          <w:color w:val="1A1A2E"/>
          <w:sz w:val="22"/>
          <w:szCs w:val="22"/>
        </w:rPr>
        <w:t xml:space="preserve">Make available to the Responsible Party all information necessary to demonstrate compliance with the obligations laid down in this Agreement and POPIA;</w:t>
      </w:r>
    </w:p>
    <w:p>
      <w:pPr>
        <w:pStyle w:val="Heading1"/>
        <w:spacing w:after="120" w:before="360"/>
      </w:pPr>
      <w:r>
        <w:rPr>
          <w:rFonts w:ascii="Arial" w:cs="Arial" w:eastAsia="Arial" w:hAnsi="Arial"/>
          <w:b/>
          <w:bCs/>
          <w:color w:val="1A1A2E"/>
          <w:sz w:val="32"/>
          <w:szCs w:val="32"/>
        </w:rPr>
        <w:t xml:space="preserve">4. Sub-processing</w:t>
      </w:r>
    </w:p>
    <w:p>
      <w:pPr>
        <w:pStyle w:val="ListParagraph"/>
        <w:numPr>
          <w:ilvl w:val="0"/>
          <w:numId w:val="2"/>
        </w:numPr>
        <w:spacing w:after="100"/>
      </w:pPr>
      <w:r>
        <w:rPr>
          <w:rFonts w:ascii="Arial" w:cs="Arial" w:eastAsia="Arial" w:hAnsi="Arial"/>
          <w:color w:val="1A1A2E"/>
          <w:sz w:val="22"/>
          <w:szCs w:val="22"/>
        </w:rPr>
        <w:t xml:space="preserve">The Operator shall not engage another operator (“sub-processor”) to carry out processing activities on behalf of the Responsible Party without prior written authorisation.</w:t>
      </w:r>
    </w:p>
    <w:p>
      <w:pPr>
        <w:pStyle w:val="ListParagraph"/>
        <w:numPr>
          <w:ilvl w:val="0"/>
          <w:numId w:val="2"/>
        </w:numPr>
        <w:spacing w:after="100"/>
      </w:pPr>
      <w:r>
        <w:rPr>
          <w:rFonts w:ascii="Arial" w:cs="Arial" w:eastAsia="Arial" w:hAnsi="Arial"/>
          <w:color w:val="1A1A2E"/>
          <w:sz w:val="22"/>
          <w:szCs w:val="22"/>
        </w:rPr>
        <w:t xml:space="preserve">Where the Operator engages a sub-processor with authorisation, the Operator shall impose the same data protection obligations on the sub-processor as set out in this Agreement, by way of a written contract.</w:t>
      </w:r>
    </w:p>
    <w:p>
      <w:pPr>
        <w:pStyle w:val="ListParagraph"/>
        <w:numPr>
          <w:ilvl w:val="0"/>
          <w:numId w:val="2"/>
        </w:numPr>
        <w:spacing w:after="100"/>
      </w:pPr>
      <w:r>
        <w:rPr>
          <w:rFonts w:ascii="Arial" w:cs="Arial" w:eastAsia="Arial" w:hAnsi="Arial"/>
          <w:color w:val="1A1A2E"/>
          <w:sz w:val="22"/>
          <w:szCs w:val="22"/>
        </w:rPr>
        <w:t xml:space="preserve">The Operator shall remain fully liable to the Responsible Party for the performance of the sub-processor’s obligations.</w:t>
      </w:r>
    </w:p>
    <w:p>
      <w:pPr>
        <w:pStyle w:val="ListParagraph"/>
        <w:numPr>
          <w:ilvl w:val="0"/>
          <w:numId w:val="2"/>
        </w:numPr>
        <w:spacing w:after="100"/>
      </w:pPr>
      <w:r>
        <w:rPr>
          <w:rFonts w:ascii="Arial" w:cs="Arial" w:eastAsia="Arial" w:hAnsi="Arial"/>
          <w:color w:val="1A1A2E"/>
          <w:sz w:val="22"/>
          <w:szCs w:val="22"/>
        </w:rPr>
        <w:t xml:space="preserve">The Operator shall provide the Responsible Party with a current list of all sub-processors upon request.</w:t>
      </w:r>
    </w:p>
    <w:p>
      <w:pPr>
        <w:pStyle w:val="Heading1"/>
        <w:spacing w:after="120" w:before="360"/>
      </w:pPr>
      <w:r>
        <w:rPr>
          <w:rFonts w:ascii="Arial" w:cs="Arial" w:eastAsia="Arial" w:hAnsi="Arial"/>
          <w:b/>
          <w:bCs/>
          <w:color w:val="1A1A2E"/>
          <w:sz w:val="32"/>
          <w:szCs w:val="32"/>
        </w:rPr>
        <w:t xml:space="preserve">5. Security Measures</w:t>
      </w:r>
    </w:p>
    <w:p>
      <w:pPr>
        <w:spacing w:after="160"/>
        <w:jc w:val="left"/>
      </w:pPr>
      <w:r>
        <w:rPr>
          <w:rFonts w:ascii="Arial" w:cs="Arial" w:eastAsia="Arial" w:hAnsi="Arial"/>
          <w:color w:val="1A1A2E"/>
          <w:sz w:val="22"/>
          <w:szCs w:val="22"/>
        </w:rPr>
        <w:t xml:space="preserve">In accordance with POPIA Section 19, the Operator shall implement and maintain appropriate, reasonable technical and organisational measures to:</w:t>
      </w:r>
    </w:p>
    <w:p>
      <w:pPr>
        <w:pStyle w:val="ListParagraph"/>
        <w:numPr>
          <w:ilvl w:val="0"/>
          <w:numId w:val="2"/>
        </w:numPr>
        <w:spacing w:after="100"/>
      </w:pPr>
      <w:r>
        <w:rPr>
          <w:rFonts w:ascii="Arial" w:cs="Arial" w:eastAsia="Arial" w:hAnsi="Arial"/>
          <w:color w:val="1A1A2E"/>
          <w:sz w:val="22"/>
          <w:szCs w:val="22"/>
        </w:rPr>
        <w:t xml:space="preserve">Prevent loss of, damage to, or unauthorised destruction of personal information;</w:t>
      </w:r>
    </w:p>
    <w:p>
      <w:pPr>
        <w:pStyle w:val="ListParagraph"/>
        <w:numPr>
          <w:ilvl w:val="0"/>
          <w:numId w:val="2"/>
        </w:numPr>
        <w:spacing w:after="100"/>
      </w:pPr>
      <w:r>
        <w:rPr>
          <w:rFonts w:ascii="Arial" w:cs="Arial" w:eastAsia="Arial" w:hAnsi="Arial"/>
          <w:color w:val="1A1A2E"/>
          <w:sz w:val="22"/>
          <w:szCs w:val="22"/>
        </w:rPr>
        <w:t xml:space="preserve">Prevent unlawful access to or processing of personal information;</w:t>
      </w:r>
    </w:p>
    <w:p>
      <w:pPr>
        <w:pStyle w:val="ListParagraph"/>
        <w:numPr>
          <w:ilvl w:val="0"/>
          <w:numId w:val="2"/>
        </w:numPr>
        <w:spacing w:after="100"/>
      </w:pPr>
      <w:r>
        <w:rPr>
          <w:rFonts w:ascii="Arial" w:cs="Arial" w:eastAsia="Arial" w:hAnsi="Arial"/>
          <w:color w:val="1A1A2E"/>
          <w:sz w:val="22"/>
          <w:szCs w:val="22"/>
        </w:rPr>
        <w:t xml:space="preserve">Identify all reasonably foreseeable internal and external risks to personal information;</w:t>
      </w:r>
    </w:p>
    <w:p>
      <w:pPr>
        <w:pStyle w:val="ListParagraph"/>
        <w:numPr>
          <w:ilvl w:val="0"/>
          <w:numId w:val="2"/>
        </w:numPr>
        <w:spacing w:after="100"/>
      </w:pPr>
      <w:r>
        <w:rPr>
          <w:rFonts w:ascii="Arial" w:cs="Arial" w:eastAsia="Arial" w:hAnsi="Arial"/>
          <w:color w:val="1A1A2E"/>
          <w:sz w:val="22"/>
          <w:szCs w:val="22"/>
        </w:rPr>
        <w:t xml:space="preserve">Establish and maintain appropriate safeguards against the risks identified;</w:t>
      </w:r>
    </w:p>
    <w:p>
      <w:pPr>
        <w:pStyle w:val="ListParagraph"/>
        <w:numPr>
          <w:ilvl w:val="0"/>
          <w:numId w:val="2"/>
        </w:numPr>
        <w:spacing w:after="100"/>
      </w:pPr>
      <w:r>
        <w:rPr>
          <w:rFonts w:ascii="Arial" w:cs="Arial" w:eastAsia="Arial" w:hAnsi="Arial"/>
          <w:color w:val="1A1A2E"/>
          <w:sz w:val="22"/>
          <w:szCs w:val="22"/>
        </w:rPr>
        <w:t xml:space="preserve">Regularly verify that the safeguards are effectively implemented;</w:t>
      </w:r>
    </w:p>
    <w:p>
      <w:pPr>
        <w:pStyle w:val="ListParagraph"/>
        <w:numPr>
          <w:ilvl w:val="0"/>
          <w:numId w:val="2"/>
        </w:numPr>
        <w:spacing w:after="100"/>
      </w:pPr>
      <w:r>
        <w:rPr>
          <w:rFonts w:ascii="Arial" w:cs="Arial" w:eastAsia="Arial" w:hAnsi="Arial"/>
          <w:color w:val="1A1A2E"/>
          <w:sz w:val="22"/>
          <w:szCs w:val="22"/>
        </w:rPr>
        <w:t xml:space="preserve">Ensure that the safeguards are continually updated in response to new risks or deficiencies.</w:t>
      </w:r>
    </w:p>
    <w:p>
      <w:pPr>
        <w:spacing w:before="120"/>
      </w:pPr>
    </w:p>
    <w:p>
      <w:pPr>
        <w:spacing w:after="160"/>
        <w:jc w:val="left"/>
      </w:pPr>
      <w:r>
        <w:rPr>
          <w:rFonts w:ascii="Arial" w:cs="Arial" w:eastAsia="Arial" w:hAnsi="Arial"/>
          <w:color w:val="1A1A2E"/>
          <w:sz w:val="22"/>
          <w:szCs w:val="22"/>
        </w:rPr>
        <w:t xml:space="preserve">Without limiting the generality of the above, the Operator shall implement at minimum:</w:t>
      </w:r>
    </w:p>
    <w:p>
      <w:pPr>
        <w:pStyle w:val="ListParagraph"/>
        <w:numPr>
          <w:ilvl w:val="0"/>
          <w:numId w:val="3"/>
        </w:numPr>
        <w:spacing w:after="80"/>
      </w:pPr>
      <w:r>
        <w:rPr>
          <w:rFonts w:ascii="Arial" w:cs="Arial" w:eastAsia="Arial" w:hAnsi="Arial"/>
          <w:color w:val="1A1A2E"/>
          <w:sz w:val="22"/>
          <w:szCs w:val="22"/>
        </w:rPr>
        <w:t xml:space="preserve">Encryption of personal information at rest (AES-256 or equivalent) and in transit (TLS 1.2 or higher)</w:t>
      </w:r>
    </w:p>
    <w:p>
      <w:pPr>
        <w:pStyle w:val="ListParagraph"/>
        <w:numPr>
          <w:ilvl w:val="0"/>
          <w:numId w:val="3"/>
        </w:numPr>
        <w:spacing w:after="80"/>
      </w:pPr>
      <w:r>
        <w:rPr>
          <w:rFonts w:ascii="Arial" w:cs="Arial" w:eastAsia="Arial" w:hAnsi="Arial"/>
          <w:color w:val="1A1A2E"/>
          <w:sz w:val="22"/>
          <w:szCs w:val="22"/>
        </w:rPr>
        <w:t xml:space="preserve">Access controls limiting access to personal information to authorised personnel only</w:t>
      </w:r>
    </w:p>
    <w:p>
      <w:pPr>
        <w:pStyle w:val="ListParagraph"/>
        <w:numPr>
          <w:ilvl w:val="0"/>
          <w:numId w:val="3"/>
        </w:numPr>
        <w:spacing w:after="80"/>
      </w:pPr>
      <w:r>
        <w:rPr>
          <w:rFonts w:ascii="Arial" w:cs="Arial" w:eastAsia="Arial" w:hAnsi="Arial"/>
          <w:color w:val="1A1A2E"/>
          <w:sz w:val="22"/>
          <w:szCs w:val="22"/>
        </w:rPr>
        <w:t xml:space="preserve">Regular security testing and vulnerability assessments</w:t>
      </w:r>
    </w:p>
    <w:p>
      <w:pPr>
        <w:pStyle w:val="ListParagraph"/>
        <w:numPr>
          <w:ilvl w:val="0"/>
          <w:numId w:val="3"/>
        </w:numPr>
        <w:spacing w:after="80"/>
      </w:pPr>
      <w:r>
        <w:rPr>
          <w:rFonts w:ascii="Arial" w:cs="Arial" w:eastAsia="Arial" w:hAnsi="Arial"/>
          <w:color w:val="1A1A2E"/>
          <w:sz w:val="22"/>
          <w:szCs w:val="22"/>
        </w:rPr>
        <w:t xml:space="preserve">Secure backup and disaster recovery procedures</w:t>
      </w:r>
    </w:p>
    <w:p>
      <w:pPr>
        <w:pStyle w:val="ListParagraph"/>
        <w:numPr>
          <w:ilvl w:val="0"/>
          <w:numId w:val="3"/>
        </w:numPr>
        <w:spacing w:after="80"/>
      </w:pPr>
      <w:r>
        <w:rPr>
          <w:rFonts w:ascii="Arial" w:cs="Arial" w:eastAsia="Arial" w:hAnsi="Arial"/>
          <w:color w:val="1A1A2E"/>
          <w:sz w:val="22"/>
          <w:szCs w:val="22"/>
        </w:rPr>
        <w:t xml:space="preserve">Employee security awareness training</w:t>
      </w:r>
    </w:p>
    <w:p>
      <w:pPr>
        <w:pStyle w:val="Heading1"/>
        <w:spacing w:after="120" w:before="360"/>
      </w:pPr>
      <w:r>
        <w:rPr>
          <w:rFonts w:ascii="Arial" w:cs="Arial" w:eastAsia="Arial" w:hAnsi="Arial"/>
          <w:b/>
          <w:bCs/>
          <w:color w:val="1A1A2E"/>
          <w:sz w:val="32"/>
          <w:szCs w:val="32"/>
        </w:rPr>
        <w:t xml:space="preserve">6. Security Compromise Notification</w:t>
      </w:r>
    </w:p>
    <w:p>
      <w:pPr>
        <w:pStyle w:val="ListParagraph"/>
        <w:numPr>
          <w:ilvl w:val="0"/>
          <w:numId w:val="2"/>
        </w:numPr>
        <w:spacing w:after="100"/>
      </w:pPr>
      <w:r>
        <w:rPr>
          <w:rFonts w:ascii="Arial" w:cs="Arial" w:eastAsia="Arial" w:hAnsi="Arial"/>
          <w:color w:val="1A1A2E"/>
          <w:sz w:val="22"/>
          <w:szCs w:val="22"/>
        </w:rPr>
        <w:t xml:space="preserve">The Operator shall notify the Responsible Party of any Security Compromise without unreasonable delay and in any event within 72 hours of becoming aware of the compromise.</w:t>
      </w:r>
    </w:p>
    <w:p>
      <w:pPr>
        <w:pStyle w:val="ListParagraph"/>
        <w:numPr>
          <w:ilvl w:val="0"/>
          <w:numId w:val="2"/>
        </w:numPr>
        <w:spacing w:after="100"/>
      </w:pPr>
      <w:r>
        <w:rPr>
          <w:rFonts w:ascii="Arial" w:cs="Arial" w:eastAsia="Arial" w:hAnsi="Arial"/>
          <w:color w:val="1A1A2E"/>
          <w:sz w:val="22"/>
          <w:szCs w:val="22"/>
        </w:rPr>
        <w:t xml:space="preserve">Such notification shall include at minimum:</w:t>
      </w:r>
    </w:p>
    <w:p>
      <w:pPr>
        <w:pStyle w:val="ListParagraph"/>
        <w:numPr>
          <w:ilvl w:val="0"/>
          <w:numId w:val="4"/>
        </w:numPr>
        <w:spacing w:after="80"/>
        <w:ind w:left="720"/>
      </w:pPr>
      <w:r>
        <w:rPr>
          <w:rFonts w:ascii="Arial" w:cs="Arial" w:eastAsia="Arial" w:hAnsi="Arial"/>
          <w:color w:val="1A1A2E"/>
          <w:sz w:val="22"/>
          <w:szCs w:val="22"/>
        </w:rPr>
        <w:t xml:space="preserve">A description of the nature of the Security Compromise, including the categories and approximate number of Data Subjects concerned;</w:t>
      </w:r>
    </w:p>
    <w:p>
      <w:pPr>
        <w:pStyle w:val="ListParagraph"/>
        <w:numPr>
          <w:ilvl w:val="0"/>
          <w:numId w:val="4"/>
        </w:numPr>
        <w:spacing w:after="80"/>
        <w:ind w:left="720"/>
      </w:pPr>
      <w:r>
        <w:rPr>
          <w:rFonts w:ascii="Arial" w:cs="Arial" w:eastAsia="Arial" w:hAnsi="Arial"/>
          <w:color w:val="1A1A2E"/>
          <w:sz w:val="22"/>
          <w:szCs w:val="22"/>
        </w:rPr>
        <w:t xml:space="preserve">The name and contact details of the Operator’s data protection contact;</w:t>
      </w:r>
    </w:p>
    <w:p>
      <w:pPr>
        <w:pStyle w:val="ListParagraph"/>
        <w:numPr>
          <w:ilvl w:val="0"/>
          <w:numId w:val="4"/>
        </w:numPr>
        <w:spacing w:after="80"/>
        <w:ind w:left="720"/>
      </w:pPr>
      <w:r>
        <w:rPr>
          <w:rFonts w:ascii="Arial" w:cs="Arial" w:eastAsia="Arial" w:hAnsi="Arial"/>
          <w:color w:val="1A1A2E"/>
          <w:sz w:val="22"/>
          <w:szCs w:val="22"/>
        </w:rPr>
        <w:t xml:space="preserve">A description of the likely consequences of the Security Compromise;</w:t>
      </w:r>
    </w:p>
    <w:p>
      <w:pPr>
        <w:pStyle w:val="ListParagraph"/>
        <w:numPr>
          <w:ilvl w:val="0"/>
          <w:numId w:val="4"/>
        </w:numPr>
        <w:spacing w:after="80"/>
        <w:ind w:left="720"/>
      </w:pPr>
      <w:r>
        <w:rPr>
          <w:rFonts w:ascii="Arial" w:cs="Arial" w:eastAsia="Arial" w:hAnsi="Arial"/>
          <w:color w:val="1A1A2E"/>
          <w:sz w:val="22"/>
          <w:szCs w:val="22"/>
        </w:rPr>
        <w:t xml:space="preserve">A description of the measures taken or proposed to address the Security Compromise, including measures to mitigate its possible adverse effects.</w:t>
      </w:r>
    </w:p>
    <w:p>
      <w:pPr>
        <w:pStyle w:val="ListParagraph"/>
        <w:numPr>
          <w:ilvl w:val="0"/>
          <w:numId w:val="2"/>
        </w:numPr>
        <w:spacing w:after="100"/>
      </w:pPr>
      <w:r>
        <w:rPr>
          <w:rFonts w:ascii="Arial" w:cs="Arial" w:eastAsia="Arial" w:hAnsi="Arial"/>
          <w:color w:val="1A1A2E"/>
          <w:sz w:val="22"/>
          <w:szCs w:val="22"/>
        </w:rPr>
        <w:t xml:space="preserve">The Operator shall cooperate with the Responsible Party in managing the Security Compromise, including assisting with the notification to the Information Regulator and affected Data Subjects as required by POPIA Section 22.</w:t>
      </w:r>
    </w:p>
    <w:p>
      <w:pPr>
        <w:pStyle w:val="Heading1"/>
        <w:spacing w:after="120" w:before="360"/>
      </w:pPr>
      <w:r>
        <w:rPr>
          <w:rFonts w:ascii="Arial" w:cs="Arial" w:eastAsia="Arial" w:hAnsi="Arial"/>
          <w:b/>
          <w:bCs/>
          <w:color w:val="1A1A2E"/>
          <w:sz w:val="32"/>
          <w:szCs w:val="32"/>
        </w:rPr>
        <w:t xml:space="preserve">7. Data Subject Access Requests</w:t>
      </w:r>
    </w:p>
    <w:p>
      <w:pPr>
        <w:pStyle w:val="ListParagraph"/>
        <w:numPr>
          <w:ilvl w:val="0"/>
          <w:numId w:val="2"/>
        </w:numPr>
        <w:spacing w:after="100"/>
      </w:pPr>
      <w:r>
        <w:rPr>
          <w:rFonts w:ascii="Arial" w:cs="Arial" w:eastAsia="Arial" w:hAnsi="Arial"/>
          <w:color w:val="1A1A2E"/>
          <w:sz w:val="22"/>
          <w:szCs w:val="22"/>
        </w:rPr>
        <w:t xml:space="preserve">The Operator shall promptly assist the Responsible Party in responding to requests from Data Subjects exercising their rights under POPIA, including requests for access (Section 23), correction (Section 24), and deletion (Section 24).</w:t>
      </w:r>
    </w:p>
    <w:p>
      <w:pPr>
        <w:pStyle w:val="ListParagraph"/>
        <w:numPr>
          <w:ilvl w:val="0"/>
          <w:numId w:val="2"/>
        </w:numPr>
        <w:spacing w:after="100"/>
      </w:pPr>
      <w:r>
        <w:rPr>
          <w:rFonts w:ascii="Arial" w:cs="Arial" w:eastAsia="Arial" w:hAnsi="Arial"/>
          <w:color w:val="1A1A2E"/>
          <w:sz w:val="22"/>
          <w:szCs w:val="22"/>
        </w:rPr>
        <w:t xml:space="preserve">The Operator shall respond to the Responsible Party’s instructions regarding Data Subject requests within 5 business days, to allow the Responsible Party to meet the 30-day deadline under POPIA.</w:t>
      </w:r>
    </w:p>
    <w:p>
      <w:pPr>
        <w:pStyle w:val="ListParagraph"/>
        <w:numPr>
          <w:ilvl w:val="0"/>
          <w:numId w:val="2"/>
        </w:numPr>
        <w:spacing w:after="100"/>
      </w:pPr>
      <w:r>
        <w:rPr>
          <w:rFonts w:ascii="Arial" w:cs="Arial" w:eastAsia="Arial" w:hAnsi="Arial"/>
          <w:color w:val="1A1A2E"/>
          <w:sz w:val="22"/>
          <w:szCs w:val="22"/>
        </w:rPr>
        <w:t xml:space="preserve">Where deletion is requested, the Operator shall securely delete or anonymise the relevant personal information within 10 business days of receiving the instruction, unless retention is required by law (including FICA Section 22).</w:t>
      </w:r>
    </w:p>
    <w:p>
      <w:pPr>
        <w:pStyle w:val="Heading1"/>
        <w:spacing w:after="120" w:before="360"/>
      </w:pPr>
      <w:r>
        <w:rPr>
          <w:rFonts w:ascii="Arial" w:cs="Arial" w:eastAsia="Arial" w:hAnsi="Arial"/>
          <w:b/>
          <w:bCs/>
          <w:color w:val="1A1A2E"/>
          <w:sz w:val="32"/>
          <w:szCs w:val="32"/>
        </w:rPr>
        <w:t xml:space="preserve">8. Cross-border Transfers</w:t>
      </w:r>
    </w:p>
    <w:p>
      <w:pPr>
        <w:pStyle w:val="ListParagraph"/>
        <w:numPr>
          <w:ilvl w:val="0"/>
          <w:numId w:val="2"/>
        </w:numPr>
        <w:spacing w:after="100"/>
      </w:pPr>
      <w:r>
        <w:rPr>
          <w:rFonts w:ascii="Arial" w:cs="Arial" w:eastAsia="Arial" w:hAnsi="Arial"/>
          <w:color w:val="1A1A2E"/>
          <w:sz w:val="22"/>
          <w:szCs w:val="22"/>
        </w:rPr>
        <w:t xml:space="preserve">Where the Operator processes personal information outside the borders of the Republic of South Africa, such transfer shall comply with POPIA Section 72.</w:t>
      </w:r>
    </w:p>
    <w:p>
      <w:pPr>
        <w:pStyle w:val="ListParagraph"/>
        <w:numPr>
          <w:ilvl w:val="0"/>
          <w:numId w:val="2"/>
        </w:numPr>
        <w:spacing w:after="100"/>
      </w:pPr>
      <w:r>
        <w:rPr>
          <w:rFonts w:ascii="Arial" w:cs="Arial" w:eastAsia="Arial" w:hAnsi="Arial"/>
          <w:color w:val="1A1A2E"/>
          <w:sz w:val="22"/>
          <w:szCs w:val="22"/>
        </w:rPr>
        <w:t xml:space="preserve">The Operator warrants that the jurisdiction in which personal information is processed provides an adequate level of protection as contemplated in POPIA Section 72(1)(a), or that one of the other permissible grounds for transfer under Section 72(1) applies.</w:t>
      </w:r>
    </w:p>
    <w:p>
      <w:pPr>
        <w:pStyle w:val="ListParagraph"/>
        <w:numPr>
          <w:ilvl w:val="0"/>
          <w:numId w:val="2"/>
        </w:numPr>
        <w:spacing w:after="100"/>
      </w:pPr>
      <w:r>
        <w:rPr>
          <w:rFonts w:ascii="Arial" w:cs="Arial" w:eastAsia="Arial" w:hAnsi="Arial"/>
          <w:color w:val="1A1A2E"/>
          <w:sz w:val="22"/>
          <w:szCs w:val="22"/>
        </w:rPr>
        <w:t xml:space="preserve">The details of any cross-border transfer, including the destination country and applicable safeguards, are set out in Schedule A.</w:t>
      </w:r>
    </w:p>
    <w:p>
      <w:pPr>
        <w:pStyle w:val="Heading1"/>
        <w:spacing w:after="120" w:before="360"/>
      </w:pPr>
      <w:r>
        <w:rPr>
          <w:rFonts w:ascii="Arial" w:cs="Arial" w:eastAsia="Arial" w:hAnsi="Arial"/>
          <w:b/>
          <w:bCs/>
          <w:color w:val="1A1A2E"/>
          <w:sz w:val="32"/>
          <w:szCs w:val="32"/>
        </w:rPr>
        <w:t xml:space="preserve">9. Audit Rights</w:t>
      </w:r>
    </w:p>
    <w:p>
      <w:pPr>
        <w:pStyle w:val="ListParagraph"/>
        <w:numPr>
          <w:ilvl w:val="0"/>
          <w:numId w:val="2"/>
        </w:numPr>
        <w:spacing w:after="100"/>
      </w:pPr>
      <w:r>
        <w:rPr>
          <w:rFonts w:ascii="Arial" w:cs="Arial" w:eastAsia="Arial" w:hAnsi="Arial"/>
          <w:color w:val="1A1A2E"/>
          <w:sz w:val="22"/>
          <w:szCs w:val="22"/>
        </w:rPr>
        <w:t xml:space="preserve">The Responsible Party shall have the right to audit the Operator’s compliance with this Agreement upon 30 days’ written notice, at most once per calendar year unless a Security Compromise has occurred.</w:t>
      </w:r>
    </w:p>
    <w:p>
      <w:pPr>
        <w:pStyle w:val="ListParagraph"/>
        <w:numPr>
          <w:ilvl w:val="0"/>
          <w:numId w:val="2"/>
        </w:numPr>
        <w:spacing w:after="100"/>
      </w:pPr>
      <w:r>
        <w:rPr>
          <w:rFonts w:ascii="Arial" w:cs="Arial" w:eastAsia="Arial" w:hAnsi="Arial"/>
          <w:color w:val="1A1A2E"/>
          <w:sz w:val="22"/>
          <w:szCs w:val="22"/>
        </w:rPr>
        <w:t xml:space="preserve">The Operator shall make available all information and access reasonably necessary for the Responsible Party (or its appointed auditor) to conduct such audit.</w:t>
      </w:r>
    </w:p>
    <w:p>
      <w:pPr>
        <w:pStyle w:val="ListParagraph"/>
        <w:numPr>
          <w:ilvl w:val="0"/>
          <w:numId w:val="2"/>
        </w:numPr>
        <w:spacing w:after="100"/>
      </w:pPr>
      <w:r>
        <w:rPr>
          <w:rFonts w:ascii="Arial" w:cs="Arial" w:eastAsia="Arial" w:hAnsi="Arial"/>
          <w:color w:val="1A1A2E"/>
          <w:sz w:val="22"/>
          <w:szCs w:val="22"/>
        </w:rPr>
        <w:t xml:space="preserve">The Operator shall promptly remedy any non-compliance identified during an audit.</w:t>
      </w:r>
    </w:p>
    <w:p>
      <w:pPr>
        <w:pStyle w:val="Heading1"/>
        <w:spacing w:after="120" w:before="360"/>
      </w:pPr>
      <w:r>
        <w:rPr>
          <w:rFonts w:ascii="Arial" w:cs="Arial" w:eastAsia="Arial" w:hAnsi="Arial"/>
          <w:b/>
          <w:bCs/>
          <w:color w:val="1A1A2E"/>
          <w:sz w:val="32"/>
          <w:szCs w:val="32"/>
        </w:rPr>
        <w:t xml:space="preserve">10. Data Retention and Return</w:t>
      </w:r>
    </w:p>
    <w:p>
      <w:pPr>
        <w:pStyle w:val="ListParagraph"/>
        <w:numPr>
          <w:ilvl w:val="0"/>
          <w:numId w:val="2"/>
        </w:numPr>
        <w:spacing w:after="100"/>
      </w:pPr>
      <w:r>
        <w:rPr>
          <w:rFonts w:ascii="Arial" w:cs="Arial" w:eastAsia="Arial" w:hAnsi="Arial"/>
          <w:color w:val="1A1A2E"/>
          <w:sz w:val="22"/>
          <w:szCs w:val="22"/>
        </w:rPr>
        <w:t xml:space="preserve">Upon termination of this Agreement, the Operator shall, at the Responsible Party’s election, return or securely delete all personal information processed under this Agreement within 30 days.</w:t>
      </w:r>
    </w:p>
    <w:p>
      <w:pPr>
        <w:pStyle w:val="ListParagraph"/>
        <w:numPr>
          <w:ilvl w:val="0"/>
          <w:numId w:val="2"/>
        </w:numPr>
        <w:spacing w:after="100"/>
      </w:pPr>
      <w:r>
        <w:rPr>
          <w:rFonts w:ascii="Arial" w:cs="Arial" w:eastAsia="Arial" w:hAnsi="Arial"/>
          <w:color w:val="1A1A2E"/>
          <w:sz w:val="22"/>
          <w:szCs w:val="22"/>
        </w:rPr>
        <w:t xml:space="preserve">The Operator shall certify in writing that all personal information has been returned or securely deleted.</w:t>
      </w:r>
    </w:p>
    <w:p>
      <w:pPr>
        <w:pStyle w:val="ListParagraph"/>
        <w:numPr>
          <w:ilvl w:val="0"/>
          <w:numId w:val="2"/>
        </w:numPr>
        <w:spacing w:after="100"/>
      </w:pPr>
      <w:r>
        <w:rPr>
          <w:rFonts w:ascii="Arial" w:cs="Arial" w:eastAsia="Arial" w:hAnsi="Arial"/>
          <w:color w:val="1A1A2E"/>
          <w:sz w:val="22"/>
          <w:szCs w:val="22"/>
        </w:rPr>
        <w:t xml:space="preserve">This obligation does not apply to the extent that the Operator is required by applicable law (including FICA) to retain certain personal information, in which case the Operator shall inform the Responsible Party of such requirement and continue to protect the retained data in accordance with this Agreement.</w:t>
      </w:r>
    </w:p>
    <w:p>
      <w:pPr>
        <w:pStyle w:val="Heading1"/>
        <w:spacing w:after="120" w:before="360"/>
      </w:pPr>
      <w:r>
        <w:rPr>
          <w:rFonts w:ascii="Arial" w:cs="Arial" w:eastAsia="Arial" w:hAnsi="Arial"/>
          <w:b/>
          <w:bCs/>
          <w:color w:val="1A1A2E"/>
          <w:sz w:val="32"/>
          <w:szCs w:val="32"/>
        </w:rPr>
        <w:t xml:space="preserve">11. FICA Compliance</w:t>
      </w:r>
    </w:p>
    <w:p>
      <w:pPr>
        <w:spacing w:after="160"/>
        <w:jc w:val="left"/>
      </w:pPr>
      <w:r>
        <w:rPr>
          <w:rFonts w:ascii="Arial" w:cs="Arial" w:eastAsia="Arial" w:hAnsi="Arial"/>
          <w:color w:val="1A1A2E"/>
          <w:sz w:val="22"/>
          <w:szCs w:val="22"/>
        </w:rPr>
        <w:t xml:space="preserve">The parties acknowledge that Flamingo Pay is a financial services provider subject to the Financial Intelligence Centre Act 38 of 2001 (FICA). Accordingly:</w:t>
      </w:r>
    </w:p>
    <w:p>
      <w:pPr>
        <w:pStyle w:val="ListParagraph"/>
        <w:numPr>
          <w:ilvl w:val="0"/>
          <w:numId w:val="2"/>
        </w:numPr>
        <w:spacing w:after="100"/>
      </w:pPr>
      <w:r>
        <w:rPr>
          <w:rFonts w:ascii="Arial" w:cs="Arial" w:eastAsia="Arial" w:hAnsi="Arial"/>
          <w:color w:val="1A1A2E"/>
          <w:sz w:val="22"/>
          <w:szCs w:val="22"/>
        </w:rPr>
        <w:t xml:space="preserve">Financial transaction records, KYC documentation, and compliance flags must be retained for a minimum of 5 years from the date of the transaction or account closure, as required by FICA Section 22.</w:t>
      </w:r>
    </w:p>
    <w:p>
      <w:pPr>
        <w:pStyle w:val="ListParagraph"/>
        <w:numPr>
          <w:ilvl w:val="0"/>
          <w:numId w:val="2"/>
        </w:numPr>
        <w:spacing w:after="100"/>
      </w:pPr>
      <w:r>
        <w:rPr>
          <w:rFonts w:ascii="Arial" w:cs="Arial" w:eastAsia="Arial" w:hAnsi="Arial"/>
          <w:color w:val="1A1A2E"/>
          <w:sz w:val="22"/>
          <w:szCs w:val="22"/>
        </w:rPr>
        <w:t xml:space="preserve">Where a Data Subject requests deletion of personal information, the Operator shall anonymise non-essential personal information but retain financial records for the FICA retention period.</w:t>
      </w:r>
    </w:p>
    <w:p>
      <w:pPr>
        <w:pStyle w:val="ListParagraph"/>
        <w:numPr>
          <w:ilvl w:val="0"/>
          <w:numId w:val="2"/>
        </w:numPr>
        <w:spacing w:after="100"/>
      </w:pPr>
      <w:r>
        <w:rPr>
          <w:rFonts w:ascii="Arial" w:cs="Arial" w:eastAsia="Arial" w:hAnsi="Arial"/>
          <w:color w:val="1A1A2E"/>
          <w:sz w:val="22"/>
          <w:szCs w:val="22"/>
        </w:rPr>
        <w:t xml:space="preserve">The Operator shall implement access controls to ensure that retained financial records are accessible only for compliance and regulatory purposes during the retention period.</w:t>
      </w:r>
    </w:p>
    <w:p>
      <w:pPr>
        <w:pStyle w:val="Heading1"/>
        <w:spacing w:after="120" w:before="360"/>
      </w:pPr>
      <w:r>
        <w:rPr>
          <w:rFonts w:ascii="Arial" w:cs="Arial" w:eastAsia="Arial" w:hAnsi="Arial"/>
          <w:b/>
          <w:bCs/>
          <w:color w:val="1A1A2E"/>
          <w:sz w:val="32"/>
          <w:szCs w:val="32"/>
        </w:rPr>
        <w:t xml:space="preserve">12. Liability and Indemnity</w:t>
      </w:r>
    </w:p>
    <w:p>
      <w:pPr>
        <w:pStyle w:val="ListParagraph"/>
        <w:numPr>
          <w:ilvl w:val="0"/>
          <w:numId w:val="2"/>
        </w:numPr>
        <w:spacing w:after="100"/>
      </w:pPr>
      <w:r>
        <w:rPr>
          <w:rFonts w:ascii="Arial" w:cs="Arial" w:eastAsia="Arial" w:hAnsi="Arial"/>
          <w:color w:val="1A1A2E"/>
          <w:sz w:val="22"/>
          <w:szCs w:val="22"/>
        </w:rPr>
        <w:t xml:space="preserve">The Operator shall be liable for any damage caused by processing that is not in compliance with this Agreement or POPIA.</w:t>
      </w:r>
    </w:p>
    <w:p>
      <w:pPr>
        <w:pStyle w:val="ListParagraph"/>
        <w:numPr>
          <w:ilvl w:val="0"/>
          <w:numId w:val="2"/>
        </w:numPr>
        <w:spacing w:after="100"/>
      </w:pPr>
      <w:r>
        <w:rPr>
          <w:rFonts w:ascii="Arial" w:cs="Arial" w:eastAsia="Arial" w:hAnsi="Arial"/>
          <w:color w:val="1A1A2E"/>
          <w:sz w:val="22"/>
          <w:szCs w:val="22"/>
        </w:rPr>
        <w:t xml:space="preserve">The Operator shall indemnify and hold harmless the Responsible Party against all claims, losses, damages, fines, and expenses (including legal fees) arising from the Operator’s breach of this Agreement or POPIA.</w:t>
      </w:r>
    </w:p>
    <w:p>
      <w:pPr>
        <w:pStyle w:val="ListParagraph"/>
        <w:numPr>
          <w:ilvl w:val="0"/>
          <w:numId w:val="2"/>
        </w:numPr>
        <w:spacing w:after="100"/>
      </w:pPr>
      <w:r>
        <w:rPr>
          <w:rFonts w:ascii="Arial" w:cs="Arial" w:eastAsia="Arial" w:hAnsi="Arial"/>
          <w:color w:val="1A1A2E"/>
          <w:sz w:val="22"/>
          <w:szCs w:val="22"/>
        </w:rPr>
        <w:t xml:space="preserve">Nothing in this Agreement limits or excludes the liability of either party for fraud or for any liability that cannot be limited by law.</w:t>
      </w:r>
    </w:p>
    <w:p>
      <w:pPr>
        <w:pStyle w:val="Heading1"/>
        <w:spacing w:after="120" w:before="360"/>
      </w:pPr>
      <w:r>
        <w:rPr>
          <w:rFonts w:ascii="Arial" w:cs="Arial" w:eastAsia="Arial" w:hAnsi="Arial"/>
          <w:b/>
          <w:bCs/>
          <w:color w:val="1A1A2E"/>
          <w:sz w:val="32"/>
          <w:szCs w:val="32"/>
        </w:rPr>
        <w:t xml:space="preserve">13. Term and Termination</w:t>
      </w:r>
    </w:p>
    <w:p>
      <w:pPr>
        <w:pStyle w:val="ListParagraph"/>
        <w:numPr>
          <w:ilvl w:val="0"/>
          <w:numId w:val="2"/>
        </w:numPr>
        <w:spacing w:after="100"/>
      </w:pPr>
      <w:r>
        <w:rPr>
          <w:rFonts w:ascii="Arial" w:cs="Arial" w:eastAsia="Arial" w:hAnsi="Arial"/>
          <w:color w:val="1A1A2E"/>
          <w:sz w:val="22"/>
          <w:szCs w:val="22"/>
        </w:rPr>
        <w:t xml:space="preserve">This Agreement shall commence on the Effective Date and shall continue for as long as the Operator processes personal information on behalf of the Responsible Party.</w:t>
      </w:r>
    </w:p>
    <w:p>
      <w:pPr>
        <w:pStyle w:val="ListParagraph"/>
        <w:numPr>
          <w:ilvl w:val="0"/>
          <w:numId w:val="2"/>
        </w:numPr>
        <w:spacing w:after="100"/>
      </w:pPr>
      <w:r>
        <w:rPr>
          <w:rFonts w:ascii="Arial" w:cs="Arial" w:eastAsia="Arial" w:hAnsi="Arial"/>
          <w:color w:val="1A1A2E"/>
          <w:sz w:val="22"/>
          <w:szCs w:val="22"/>
        </w:rPr>
        <w:t xml:space="preserve">Either party may terminate this Agreement with 90 days’ written notice.</w:t>
      </w:r>
    </w:p>
    <w:p>
      <w:pPr>
        <w:pStyle w:val="ListParagraph"/>
        <w:numPr>
          <w:ilvl w:val="0"/>
          <w:numId w:val="2"/>
        </w:numPr>
        <w:spacing w:after="100"/>
      </w:pPr>
      <w:r>
        <w:rPr>
          <w:rFonts w:ascii="Arial" w:cs="Arial" w:eastAsia="Arial" w:hAnsi="Arial"/>
          <w:color w:val="1A1A2E"/>
          <w:sz w:val="22"/>
          <w:szCs w:val="22"/>
        </w:rPr>
        <w:t xml:space="preserve">The Responsible Party may terminate this Agreement immediately upon written notice if the Operator commits a material breach of this Agreement or POPIA and fails to remedy such breach within 30 days of receiving written notice.</w:t>
      </w:r>
    </w:p>
    <w:p>
      <w:pPr>
        <w:pStyle w:val="ListParagraph"/>
        <w:numPr>
          <w:ilvl w:val="0"/>
          <w:numId w:val="2"/>
        </w:numPr>
        <w:spacing w:after="100"/>
      </w:pPr>
      <w:r>
        <w:rPr>
          <w:rFonts w:ascii="Arial" w:cs="Arial" w:eastAsia="Arial" w:hAnsi="Arial"/>
          <w:color w:val="1A1A2E"/>
          <w:sz w:val="22"/>
          <w:szCs w:val="22"/>
        </w:rPr>
        <w:t xml:space="preserve">Clauses 2, 3, 5, 6, 10, 11, and 12 shall survive termination of this Agreement.</w:t>
      </w:r>
    </w:p>
    <w:p>
      <w:pPr>
        <w:pStyle w:val="Heading1"/>
        <w:spacing w:after="120" w:before="360"/>
      </w:pPr>
      <w:r>
        <w:rPr>
          <w:rFonts w:ascii="Arial" w:cs="Arial" w:eastAsia="Arial" w:hAnsi="Arial"/>
          <w:b/>
          <w:bCs/>
          <w:color w:val="1A1A2E"/>
          <w:sz w:val="32"/>
          <w:szCs w:val="32"/>
        </w:rPr>
        <w:t xml:space="preserve">14. Governing Law and Jurisdiction</w:t>
      </w:r>
    </w:p>
    <w:p>
      <w:pPr>
        <w:pStyle w:val="ListParagraph"/>
        <w:numPr>
          <w:ilvl w:val="0"/>
          <w:numId w:val="2"/>
        </w:numPr>
        <w:spacing w:after="100"/>
      </w:pPr>
      <w:r>
        <w:rPr>
          <w:rFonts w:ascii="Arial" w:cs="Arial" w:eastAsia="Arial" w:hAnsi="Arial"/>
          <w:color w:val="1A1A2E"/>
          <w:sz w:val="22"/>
          <w:szCs w:val="22"/>
        </w:rPr>
        <w:t xml:space="preserve">This Agreement shall be governed by and construed in accordance with the laws of the Republic of South Africa.</w:t>
      </w:r>
    </w:p>
    <w:p>
      <w:pPr>
        <w:pStyle w:val="ListParagraph"/>
        <w:numPr>
          <w:ilvl w:val="0"/>
          <w:numId w:val="2"/>
        </w:numPr>
        <w:spacing w:after="100"/>
      </w:pPr>
      <w:r>
        <w:rPr>
          <w:rFonts w:ascii="Arial" w:cs="Arial" w:eastAsia="Arial" w:hAnsi="Arial"/>
          <w:color w:val="1A1A2E"/>
          <w:sz w:val="22"/>
          <w:szCs w:val="22"/>
        </w:rPr>
        <w:t xml:space="preserve">The parties consent to the exclusive jurisdiction of the High Court of South Africa, Gauteng Division, Johannesburg.</w:t>
      </w:r>
    </w:p>
    <w:p>
      <w:pPr>
        <w:pStyle w:val="Heading1"/>
        <w:spacing w:after="120" w:before="360"/>
      </w:pPr>
      <w:r>
        <w:rPr>
          <w:rFonts w:ascii="Arial" w:cs="Arial" w:eastAsia="Arial" w:hAnsi="Arial"/>
          <w:b/>
          <w:bCs/>
          <w:color w:val="1A1A2E"/>
          <w:sz w:val="32"/>
          <w:szCs w:val="32"/>
        </w:rPr>
        <w:t xml:space="preserve">15. General Provisions</w:t>
      </w:r>
    </w:p>
    <w:p>
      <w:pPr>
        <w:pStyle w:val="ListParagraph"/>
        <w:numPr>
          <w:ilvl w:val="0"/>
          <w:numId w:val="2"/>
        </w:numPr>
        <w:spacing w:after="100"/>
      </w:pPr>
      <w:r>
        <w:rPr>
          <w:rFonts w:ascii="Arial" w:cs="Arial" w:eastAsia="Arial" w:hAnsi="Arial"/>
          <w:color w:val="1A1A2E"/>
          <w:sz w:val="22"/>
          <w:szCs w:val="22"/>
        </w:rPr>
        <w:t xml:space="preserve">This Agreement constitutes the entire agreement between the parties relating to the processing of personal information and supersedes all prior agreements, representations, and understandings.</w:t>
      </w:r>
    </w:p>
    <w:p>
      <w:pPr>
        <w:pStyle w:val="ListParagraph"/>
        <w:numPr>
          <w:ilvl w:val="0"/>
          <w:numId w:val="2"/>
        </w:numPr>
        <w:spacing w:after="100"/>
      </w:pPr>
      <w:r>
        <w:rPr>
          <w:rFonts w:ascii="Arial" w:cs="Arial" w:eastAsia="Arial" w:hAnsi="Arial"/>
          <w:color w:val="1A1A2E"/>
          <w:sz w:val="22"/>
          <w:szCs w:val="22"/>
        </w:rPr>
        <w:t xml:space="preserve">No amendment to this Agreement shall be effective unless made in writing and signed by both parties.</w:t>
      </w:r>
    </w:p>
    <w:p>
      <w:pPr>
        <w:pStyle w:val="ListParagraph"/>
        <w:numPr>
          <w:ilvl w:val="0"/>
          <w:numId w:val="2"/>
        </w:numPr>
        <w:spacing w:after="100"/>
      </w:pPr>
      <w:r>
        <w:rPr>
          <w:rFonts w:ascii="Arial" w:cs="Arial" w:eastAsia="Arial" w:hAnsi="Arial"/>
          <w:color w:val="1A1A2E"/>
          <w:sz w:val="22"/>
          <w:szCs w:val="22"/>
        </w:rPr>
        <w:t xml:space="preserve">If any provision of this Agreement is found to be invalid or unenforceable, the remaining provisions shall continue in full force and effect.</w:t>
      </w:r>
    </w:p>
    <w:p>
      <w:pPr>
        <w:pStyle w:val="ListParagraph"/>
        <w:numPr>
          <w:ilvl w:val="0"/>
          <w:numId w:val="2"/>
        </w:numPr>
        <w:spacing w:after="100"/>
      </w:pPr>
      <w:r>
        <w:rPr>
          <w:rFonts w:ascii="Arial" w:cs="Arial" w:eastAsia="Arial" w:hAnsi="Arial"/>
          <w:color w:val="1A1A2E"/>
          <w:sz w:val="22"/>
          <w:szCs w:val="22"/>
        </w:rPr>
        <w:t xml:space="preserve">Neither party may assign or transfer its rights or obligations under this Agreement without the prior written consent of the other party.</w:t>
      </w:r>
    </w:p>
    <w:p>
      <w:r>
        <w:br w:type="page"/>
      </w:r>
    </w:p>
    <w:p>
      <w:pPr>
        <w:pStyle w:val="Heading1"/>
        <w:spacing w:after="120" w:before="360"/>
      </w:pPr>
      <w:r>
        <w:rPr>
          <w:rFonts w:ascii="Arial" w:cs="Arial" w:eastAsia="Arial" w:hAnsi="Arial"/>
          <w:b/>
          <w:bCs/>
          <w:color w:val="1A1A2E"/>
          <w:sz w:val="32"/>
          <w:szCs w:val="32"/>
        </w:rPr>
        <w:t xml:space="preserve">Signatures</w:t>
      </w:r>
    </w:p>
    <w:p>
      <w:pPr>
        <w:spacing w:after="160"/>
        <w:jc w:val="left"/>
      </w:pPr>
      <w:r>
        <w:rPr>
          <w:rFonts w:ascii="Arial" w:cs="Arial" w:eastAsia="Arial" w:hAnsi="Arial"/>
          <w:i/>
          <w:iCs/>
          <w:color w:val="1A1A2E"/>
          <w:sz w:val="22"/>
          <w:szCs w:val="22"/>
        </w:rPr>
        <w:t xml:space="preserve">Signed at ______________________ on this ______ day of ______________________ 20____.</w:t>
      </w:r>
    </w:p>
    <w:p>
      <w:pPr>
        <w:spacing w:before="240"/>
      </w:pPr>
    </w:p>
    <w:p>
      <w:pPr>
        <w:spacing w:after="160"/>
        <w:jc w:val="left"/>
      </w:pPr>
      <w:r>
        <w:rPr>
          <w:rFonts w:ascii="Arial" w:cs="Arial" w:eastAsia="Arial" w:hAnsi="Arial"/>
          <w:b/>
          <w:bCs/>
          <w:color w:val="1A1A2E"/>
          <w:sz w:val="22"/>
          <w:szCs w:val="22"/>
        </w:rPr>
        <w:t xml:space="preserve">FOR AND ON BEHALF OF THE RESPONSIBLE PARTY</w:t>
      </w:r>
    </w:p>
    <w:p>
      <w:pPr>
        <w:spacing w:before="480"/>
      </w:pPr>
    </w:p>
    <w:p>
      <w:pPr>
        <w:pBdr>
          <w:bottom w:val="single" w:color="1A1A2E" w:sz="6" w:space="1"/>
        </w:pBdr>
        <w:spacing w:after="40"/>
      </w:pPr>
      <w:r>
        <w:rPr>
          <w:rFonts w:ascii="Arial" w:cs="Arial" w:eastAsia="Arial" w:hAnsi="Arial"/>
          <w:sz w:val="22"/>
          <w:szCs w:val="22"/>
        </w:rPr>
        <w:t xml:space="preserve"> </w:t>
      </w:r>
    </w:p>
    <w:p>
      <w:pPr>
        <w:spacing w:after="160"/>
        <w:jc w:val="left"/>
      </w:pPr>
      <w:r>
        <w:rPr>
          <w:rFonts w:ascii="Arial" w:cs="Arial" w:eastAsia="Arial" w:hAnsi="Arial"/>
          <w:b/>
          <w:bCs/>
          <w:color w:val="1A1A2E"/>
          <w:sz w:val="22"/>
          <w:szCs w:val="22"/>
        </w:rPr>
        <w:t xml:space="preserve">Flamingo Pay (Pty) Ltd</w:t>
      </w:r>
    </w:p>
    <w:p>
      <w:pPr>
        <w:pBdr>
          <w:bottom w:val="single" w:color="1A1A2E" w:sz="6" w:space="1"/>
        </w:pBdr>
        <w:spacing w:after="40" w:before="200"/>
      </w:pPr>
      <w:r>
        <w:rPr>
          <w:rFonts w:ascii="Arial" w:cs="Arial" w:eastAsia="Arial" w:hAnsi="Arial"/>
          <w:sz w:val="22"/>
          <w:szCs w:val="22"/>
        </w:rPr>
        <w:t xml:space="preserve"> </w:t>
      </w:r>
    </w:p>
    <w:p>
      <w:pPr>
        <w:spacing w:after="160"/>
        <w:jc w:val="left"/>
      </w:pPr>
      <w:r>
        <w:rPr>
          <w:rFonts w:ascii="Arial" w:cs="Arial" w:eastAsia="Arial" w:hAnsi="Arial"/>
          <w:color w:val="1A1A2E"/>
          <w:sz w:val="22"/>
          <w:szCs w:val="22"/>
        </w:rPr>
        <w:t xml:space="preserve">Name and Title</w:t>
      </w:r>
    </w:p>
    <w:p>
      <w:pPr>
        <w:pBdr>
          <w:bottom w:val="single" w:color="1A1A2E" w:sz="6" w:space="1"/>
        </w:pBdr>
        <w:spacing w:after="40" w:before="200"/>
      </w:pPr>
      <w:r>
        <w:rPr>
          <w:rFonts w:ascii="Arial" w:cs="Arial" w:eastAsia="Arial" w:hAnsi="Arial"/>
          <w:sz w:val="22"/>
          <w:szCs w:val="22"/>
        </w:rPr>
        <w:t xml:space="preserve"> </w:t>
      </w:r>
    </w:p>
    <w:p>
      <w:pPr>
        <w:spacing w:after="160"/>
        <w:jc w:val="left"/>
      </w:pPr>
      <w:r>
        <w:rPr>
          <w:rFonts w:ascii="Arial" w:cs="Arial" w:eastAsia="Arial" w:hAnsi="Arial"/>
          <w:color w:val="1A1A2E"/>
          <w:sz w:val="22"/>
          <w:szCs w:val="22"/>
        </w:rPr>
        <w:t xml:space="preserve">Date</w:t>
      </w:r>
    </w:p>
    <w:p>
      <w:pPr>
        <w:spacing w:before="480"/>
      </w:pPr>
    </w:p>
    <w:p>
      <w:pPr>
        <w:spacing w:after="160"/>
        <w:jc w:val="left"/>
      </w:pPr>
      <w:r>
        <w:rPr>
          <w:rFonts w:ascii="Arial" w:cs="Arial" w:eastAsia="Arial" w:hAnsi="Arial"/>
          <w:b/>
          <w:bCs/>
          <w:color w:val="1A1A2E"/>
          <w:sz w:val="22"/>
          <w:szCs w:val="22"/>
        </w:rPr>
        <w:t xml:space="preserve">FOR AND ON BEHALF OF THE OPERATOR</w:t>
      </w:r>
    </w:p>
    <w:p>
      <w:pPr>
        <w:spacing w:before="480"/>
      </w:pPr>
    </w:p>
    <w:p>
      <w:pPr>
        <w:pBdr>
          <w:bottom w:val="single" w:color="1A1A2E" w:sz="6" w:space="1"/>
        </w:pBdr>
        <w:spacing w:after="40"/>
      </w:pPr>
      <w:r>
        <w:rPr>
          <w:rFonts w:ascii="Arial" w:cs="Arial" w:eastAsia="Arial" w:hAnsi="Arial"/>
          <w:sz w:val="22"/>
          <w:szCs w:val="22"/>
        </w:rPr>
        <w:t xml:space="preserve"> </w:t>
      </w:r>
    </w:p>
    <w:p>
      <w:pPr>
        <w:spacing w:after="160"/>
        <w:jc w:val="left"/>
      </w:pPr>
      <w:r>
        <w:rPr>
          <w:rFonts w:ascii="Arial" w:cs="Arial" w:eastAsia="Arial" w:hAnsi="Arial"/>
          <w:b/>
          <w:bCs/>
          <w:color w:val="1A1A2E"/>
          <w:sz w:val="22"/>
          <w:szCs w:val="22"/>
        </w:rPr>
        <w:t xml:space="preserve">[Operator Name]</w:t>
      </w:r>
    </w:p>
    <w:p>
      <w:pPr>
        <w:pBdr>
          <w:bottom w:val="single" w:color="1A1A2E" w:sz="6" w:space="1"/>
        </w:pBdr>
        <w:spacing w:after="40" w:before="200"/>
      </w:pPr>
      <w:r>
        <w:rPr>
          <w:rFonts w:ascii="Arial" w:cs="Arial" w:eastAsia="Arial" w:hAnsi="Arial"/>
          <w:sz w:val="22"/>
          <w:szCs w:val="22"/>
        </w:rPr>
        <w:t xml:space="preserve"> </w:t>
      </w:r>
    </w:p>
    <w:p>
      <w:pPr>
        <w:spacing w:after="160"/>
        <w:jc w:val="left"/>
      </w:pPr>
      <w:r>
        <w:rPr>
          <w:rFonts w:ascii="Arial" w:cs="Arial" w:eastAsia="Arial" w:hAnsi="Arial"/>
          <w:color w:val="1A1A2E"/>
          <w:sz w:val="22"/>
          <w:szCs w:val="22"/>
        </w:rPr>
        <w:t xml:space="preserve">Name and Title</w:t>
      </w:r>
    </w:p>
    <w:p>
      <w:pPr>
        <w:pBdr>
          <w:bottom w:val="single" w:color="1A1A2E" w:sz="6" w:space="1"/>
        </w:pBdr>
        <w:spacing w:after="40" w:before="200"/>
      </w:pPr>
      <w:r>
        <w:rPr>
          <w:rFonts w:ascii="Arial" w:cs="Arial" w:eastAsia="Arial" w:hAnsi="Arial"/>
          <w:sz w:val="22"/>
          <w:szCs w:val="22"/>
        </w:rPr>
        <w:t xml:space="preserve"> </w:t>
      </w:r>
    </w:p>
    <w:p>
      <w:pPr>
        <w:spacing w:after="160"/>
        <w:jc w:val="left"/>
      </w:pPr>
      <w:r>
        <w:rPr>
          <w:rFonts w:ascii="Arial" w:cs="Arial" w:eastAsia="Arial" w:hAnsi="Arial"/>
          <w:color w:val="1A1A2E"/>
          <w:sz w:val="22"/>
          <w:szCs w:val="22"/>
        </w:rPr>
        <w:t xml:space="preserve">Date</w:t>
      </w:r>
    </w:p>
    <w:p>
      <w:r>
        <w:br w:type="page"/>
      </w:r>
    </w:p>
    <w:p>
      <w:pPr>
        <w:pStyle w:val="Heading1"/>
        <w:spacing w:after="120" w:before="360"/>
      </w:pPr>
      <w:r>
        <w:rPr>
          <w:rFonts w:ascii="Arial" w:cs="Arial" w:eastAsia="Arial" w:hAnsi="Arial"/>
          <w:b/>
          <w:bCs/>
          <w:color w:val="1A1A2E"/>
          <w:sz w:val="32"/>
          <w:szCs w:val="32"/>
        </w:rPr>
        <w:t xml:space="preserve">Schedule A — Processing Details</w:t>
      </w:r>
    </w:p>
    <w:p>
      <w:pPr>
        <w:spacing w:after="160"/>
        <w:jc w:val="left"/>
      </w:pPr>
      <w:r>
        <w:rPr>
          <w:rFonts w:ascii="Arial" w:cs="Arial" w:eastAsia="Arial" w:hAnsi="Arial"/>
          <w:color w:val="1A1A2E"/>
          <w:sz w:val="22"/>
          <w:szCs w:val="22"/>
        </w:rPr>
        <w:t xml:space="preserve">This Schedule forms part of the Data Processing Agreement between Flamingo Pay (Pty) Ltd and the Operator.</w:t>
      </w:r>
    </w:p>
    <w:p>
      <w:pPr>
        <w:pStyle w:val="Heading2"/>
        <w:spacing w:after="120" w:before="240"/>
      </w:pPr>
      <w:r>
        <w:rPr>
          <w:rFonts w:ascii="Arial" w:cs="Arial" w:eastAsia="Arial" w:hAnsi="Arial"/>
          <w:b/>
          <w:bCs/>
          <w:color w:val="1A1A2E"/>
          <w:sz w:val="28"/>
          <w:szCs w:val="28"/>
        </w:rPr>
        <w:t xml:space="preserve">A1. Description of Processing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Purpose of processing</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[Describe the specific purpose, e.g. “Hosting and serving web application and API endpoints”]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Nature of processing</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Storage, computation, transmission, hosting]</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Categories of data subjects</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Merchants, buyers/customers, employees]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Types of personal information</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Names, email addresses, phone numbers, ID numbers, transaction records, bank details]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Special personal information</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[State if any special personal information (Section 26–33) is processed, or “None”]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Duration of processing</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For the term of the service agreement, plus FICA retention periods where applicable]</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Data storage location</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[Country/region, e.g. South Africa, EU (Ireland), USA]</w:t>
            </w:r>
          </w:p>
        </w:tc>
      </w:tr>
    </w:tbl>
    <w:p>
      <w:pPr>
        <w:pStyle w:val="Heading2"/>
        <w:spacing w:after="120" w:before="240"/>
      </w:pPr>
      <w:r>
        <w:rPr>
          <w:rFonts w:ascii="Arial" w:cs="Arial" w:eastAsia="Arial" w:hAnsi="Arial"/>
          <w:b/>
          <w:bCs/>
          <w:color w:val="1A1A2E"/>
          <w:sz w:val="28"/>
          <w:szCs w:val="28"/>
        </w:rPr>
        <w:t xml:space="preserve">A2. Cross-border Transfer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Destination country</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Ireland (EU), United States]</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Legal basis (Section 72)</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Adequate level of protection (EU/GDPR), contractual necessity, binding agreement]</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A1A2E"/>
                <w:sz w:val="20"/>
                <w:szCs w:val="20"/>
              </w:rPr>
              <w:t xml:space="preserve">Additional safeguards</w:t>
            </w:r>
          </w:p>
        </w:tc>
        <w:tc>
          <w:tcPr>
            <w:tcW w:type="dxa" w:w="62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[e.g. Standard Contractual Clauses, SOC 2 Type II certification, encryption]</w:t>
            </w:r>
          </w:p>
        </w:tc>
      </w:tr>
    </w:tbl>
    <w:p>
      <w:pPr>
        <w:pStyle w:val="Heading2"/>
        <w:spacing w:after="120" w:before="240"/>
      </w:pPr>
      <w:r>
        <w:rPr>
          <w:rFonts w:ascii="Arial" w:cs="Arial" w:eastAsia="Arial" w:hAnsi="Arial"/>
          <w:b/>
          <w:bCs/>
          <w:color w:val="1A1A2E"/>
          <w:sz w:val="28"/>
          <w:szCs w:val="28"/>
        </w:rPr>
        <w:t xml:space="preserve">A3. Security Measures</w:t>
      </w:r>
    </w:p>
    <w:p>
      <w:pPr>
        <w:spacing w:after="160"/>
        <w:jc w:val="left"/>
      </w:pPr>
      <w:r>
        <w:rPr>
          <w:rFonts w:ascii="Arial" w:cs="Arial" w:eastAsia="Arial" w:hAnsi="Arial"/>
          <w:color w:val="1A1A2E"/>
          <w:sz w:val="22"/>
          <w:szCs w:val="22"/>
        </w:rPr>
        <w:t xml:space="preserve">The Operator shall implement the following security measures (at minimum):</w:t>
      </w:r>
    </w:p>
    <w:p>
      <w:pPr>
        <w:pStyle w:val="ListParagraph"/>
        <w:numPr>
          <w:ilvl w:val="0"/>
          <w:numId w:val="3"/>
        </w:numPr>
        <w:spacing w:after="80"/>
      </w:pPr>
      <w:r>
        <w:rPr>
          <w:rFonts w:ascii="Arial" w:cs="Arial" w:eastAsia="Arial" w:hAnsi="Arial"/>
          <w:color w:val="1A1A2E"/>
          <w:sz w:val="22"/>
          <w:szCs w:val="22"/>
        </w:rPr>
        <w:t xml:space="preserve">Encryption at rest: [e.g. AES-256]</w:t>
      </w:r>
    </w:p>
    <w:p>
      <w:pPr>
        <w:pStyle w:val="ListParagraph"/>
        <w:numPr>
          <w:ilvl w:val="0"/>
          <w:numId w:val="3"/>
        </w:numPr>
        <w:spacing w:after="80"/>
      </w:pPr>
      <w:r>
        <w:rPr>
          <w:rFonts w:ascii="Arial" w:cs="Arial" w:eastAsia="Arial" w:hAnsi="Arial"/>
          <w:color w:val="1A1A2E"/>
          <w:sz w:val="22"/>
          <w:szCs w:val="22"/>
        </w:rPr>
        <w:t xml:space="preserve">Encryption in transit: [e.g. TLS 1.2+]</w:t>
      </w:r>
    </w:p>
    <w:p>
      <w:pPr>
        <w:pStyle w:val="ListParagraph"/>
        <w:numPr>
          <w:ilvl w:val="0"/>
          <w:numId w:val="3"/>
        </w:numPr>
        <w:spacing w:after="80"/>
      </w:pPr>
      <w:r>
        <w:rPr>
          <w:rFonts w:ascii="Arial" w:cs="Arial" w:eastAsia="Arial" w:hAnsi="Arial"/>
          <w:color w:val="1A1A2E"/>
          <w:sz w:val="22"/>
          <w:szCs w:val="22"/>
        </w:rPr>
        <w:t xml:space="preserve">Access controls: [describe]</w:t>
      </w:r>
    </w:p>
    <w:p>
      <w:pPr>
        <w:pStyle w:val="ListParagraph"/>
        <w:numPr>
          <w:ilvl w:val="0"/>
          <w:numId w:val="3"/>
        </w:numPr>
        <w:spacing w:after="80"/>
      </w:pPr>
      <w:r>
        <w:rPr>
          <w:rFonts w:ascii="Arial" w:cs="Arial" w:eastAsia="Arial" w:hAnsi="Arial"/>
          <w:color w:val="1A1A2E"/>
          <w:sz w:val="22"/>
          <w:szCs w:val="22"/>
        </w:rPr>
        <w:t xml:space="preserve">Security certifications: [e.g. SOC 2 Type II, PCI-DSS, ISO 27001]</w:t>
      </w:r>
    </w:p>
    <w:p>
      <w:pPr>
        <w:pStyle w:val="ListParagraph"/>
        <w:numPr>
          <w:ilvl w:val="0"/>
          <w:numId w:val="3"/>
        </w:numPr>
        <w:spacing w:after="80"/>
      </w:pPr>
      <w:r>
        <w:rPr>
          <w:rFonts w:ascii="Arial" w:cs="Arial" w:eastAsia="Arial" w:hAnsi="Arial"/>
          <w:color w:val="1A1A2E"/>
          <w:sz w:val="22"/>
          <w:szCs w:val="22"/>
        </w:rPr>
        <w:t xml:space="preserve">Backup and disaster recovery: [describe]</w:t>
      </w:r>
    </w:p>
    <w:p>
      <w:pPr>
        <w:pStyle w:val="ListParagraph"/>
        <w:numPr>
          <w:ilvl w:val="0"/>
          <w:numId w:val="3"/>
        </w:numPr>
        <w:spacing w:after="80"/>
      </w:pPr>
      <w:r>
        <w:rPr>
          <w:rFonts w:ascii="Arial" w:cs="Arial" w:eastAsia="Arial" w:hAnsi="Arial"/>
          <w:color w:val="1A1A2E"/>
          <w:sz w:val="22"/>
          <w:szCs w:val="22"/>
        </w:rPr>
        <w:t xml:space="preserve">Penetration testing frequency: [e.g. annually]</w:t>
      </w:r>
    </w:p>
    <w:p>
      <w:pPr>
        <w:pStyle w:val="Heading2"/>
        <w:spacing w:after="120" w:before="240"/>
      </w:pPr>
      <w:r>
        <w:rPr>
          <w:rFonts w:ascii="Arial" w:cs="Arial" w:eastAsia="Arial" w:hAnsi="Arial"/>
          <w:b/>
          <w:bCs/>
          <w:color w:val="1A1A2E"/>
          <w:sz w:val="28"/>
          <w:szCs w:val="28"/>
        </w:rPr>
        <w:t xml:space="preserve">A4. Sub-processors</w:t>
      </w:r>
    </w:p>
    <w:p>
      <w:pPr>
        <w:spacing w:after="160"/>
        <w:jc w:val="left"/>
      </w:pPr>
      <w:r>
        <w:rPr>
          <w:rFonts w:ascii="Arial" w:cs="Arial" w:eastAsia="Arial" w:hAnsi="Arial"/>
          <w:color w:val="1A1A2E"/>
          <w:sz w:val="22"/>
          <w:szCs w:val="22"/>
        </w:rPr>
        <w:t xml:space="preserve">The following sub-processors are authorised as at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Sub-processor</w:t>
            </w:r>
          </w:p>
        </w:tc>
        <w:tc>
          <w:tcPr>
            <w:tcW w:type="dxa" w:w="351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Purpose</w:t>
            </w:r>
          </w:p>
        </w:tc>
        <w:tc>
          <w:tcPr>
            <w:tcW w:type="dxa" w:w="351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Location</w:t>
            </w:r>
          </w:p>
        </w:tc>
      </w:tr>
      <w:tr>
        <w:tc>
          <w:tcPr>
            <w:tcW w:type="dxa" w:w="23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[Name]</w:t>
            </w:r>
          </w:p>
        </w:tc>
        <w:tc>
          <w:tcPr>
            <w:tcW w:type="dxa" w:w="351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[Purpose]</w:t>
            </w:r>
          </w:p>
        </w:tc>
        <w:tc>
          <w:tcPr>
            <w:tcW w:type="dxa" w:w="351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[Country]</w:t>
            </w:r>
          </w:p>
        </w:tc>
      </w:tr>
      <w:tr>
        <w:tc>
          <w:tcPr>
            <w:tcW w:type="dxa" w:w="234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[Name]</w:t>
            </w:r>
          </w:p>
        </w:tc>
        <w:tc>
          <w:tcPr>
            <w:tcW w:type="dxa" w:w="351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[Purpose]</w:t>
            </w:r>
          </w:p>
        </w:tc>
        <w:tc>
          <w:tcPr>
            <w:tcW w:type="dxa" w:w="3510"/>
            <w:tcBorders>
              <w:top w:val="single" w:color="CCCCCC" w:sz="1"/>
              <w:left w:val="single" w:color="CCCCCC" w:sz="1"/>
              <w:bottom w:val="single" w:color="CCCCCC" w:sz="1"/>
              <w:right w:val="single" w:color="CCCCCC" w:sz="1"/>
            </w:tcBorders>
            <w:shd w:fill="FFF9DB" w:val="clear"/>
            <w:tcMar>
              <w:top w:type="dxa" w:w="80"/>
              <w:left w:type="dxa" w:w="120"/>
              <w:bottom w:type="dxa" w:w="80"/>
              <w:right w:type="dxa" w:w="120"/>
            </w:tcMar>
          </w:tcPr>
          <w:p>
            <w:r>
              <w:rPr>
                <w:rFonts w:ascii="Arial" w:cs="Arial" w:eastAsia="Arial" w:hAnsi="Arial"/>
                <w:color w:val="1A1A2E"/>
                <w:sz w:val="20"/>
                <w:szCs w:val="20"/>
              </w:rPr>
              <w:t xml:space="preserve">[Country]</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Flamingo Pay (Pty) Ltd — Data Processing Agreement</w:t>
    </w:r>
    <w:r>
      <w:rPr>
        <w:rFonts w:ascii="Arial" w:cs="Arial" w:eastAsia="Arial" w:hAnsi="Arial"/>
        <w:color w:val="999999"/>
        <w:sz w:val="16"/>
        <w:szCs w:val="16"/>
      </w:rPr>
      <w:t xml:space="preserve">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1080" w:hanging="360"/>
      </w:pPr>
    </w:lvl>
  </w:abstractNum>
  <w:abstractNum w:abstractNumId="5"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80" w:before="240"/>
      <w:outlineLvl w:val="1"/>
    </w:pPr>
    <w:rPr>
      <w:rFonts w:ascii="Arial" w:cs="Arial" w:eastAsia="Arial" w:hAnsi="Arial"/>
      <w:b/>
      <w:bCs/>
      <w:color w:val="1A1A2E"/>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1A1A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2026-04-20T19:33:14.743Z</dcterms:created>
  <dcterms:modified xsi:type="dcterms:W3CDTF">2026-04-20T19:33:14.744Z</dcterms:modified>
</cp:coreProperties>
</file>

<file path=docProps/custom.xml><?xml version="1.0" encoding="utf-8"?>
<Properties xmlns="http://schemas.openxmlformats.org/officeDocument/2006/custom-properties" xmlns:vt="http://schemas.openxmlformats.org/officeDocument/2006/docPropsVTypes"/>
</file>